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jpeg" ContentType="image/jpeg"/>
  <Override PartName="/word/media/image10.png" ContentType="image/png"/>
  <Override PartName="/word/media/image11.png" ContentType="image/png"/>
  <Override PartName="/word/media/image12.emf" ContentType="image/x-emf"/>
  <Override PartName="/word/media/image13.png" ContentType="image/png"/>
  <Override PartName="/word/footer4.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embeddings/oleObject1.xlsx" ContentType="application/vnd.openxmlformats-officedocument.spreadsheetml.sheet"/>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footer12.xml.rels" ContentType="application/vnd.openxmlformats-package.relationships+xml"/>
  <Override PartName="/word/_rels/footer4.xml.rels" ContentType="application/vnd.openxmlformats-package.relationships+xml"/>
  <Override PartName="/word/_rels/header2.xml.rels" ContentType="application/vnd.openxmlformats-package.relationships+xml"/>
  <Override PartName="/word/_rels/footer11.xml.rels" ContentType="application/vnd.openxmlformats-package.relationships+xml"/>
  <Override PartName="/word/_rels/footer3.xml.rels" ContentType="application/vnd.openxmlformats-package.relationships+xml"/>
  <Override PartName="/word/_rels/header1.xml.rels" ContentType="application/vnd.openxmlformats-package.relationships+xml"/>
  <Override PartName="/word/_rels/footer2.xml.rels" ContentType="application/vnd.openxmlformats-package.relationships+xml"/>
  <Override PartName="/word/_rels/footer10.xml.rels" ContentType="application/vnd.openxmlformats-package.relationships+xml"/>
  <Override PartName="/word/_rels/footer5.xml.rels" ContentType="application/vnd.openxmlformats-package.relationships+xml"/>
  <Override PartName="/word/_rels/header3.xml.rels" ContentType="application/vnd.openxmlformats-package.relationships+xml"/>
  <Override PartName="/word/_rels/footer6.xml.rels" ContentType="application/vnd.openxmlformats-package.relationships+xml"/>
  <Override PartName="/word/_rels/header4.xml.rels" ContentType="application/vnd.openxmlformats-package.relationships+xml"/>
  <Override PartName="/word/_rels/footer7.xml.rels" ContentType="application/vnd.openxmlformats-package.relationships+xml"/>
  <Override PartName="/word/_rels/header5.xml.rels" ContentType="application/vnd.openxmlformats-package.relationships+xml"/>
  <Override PartName="/word/_rels/footer8.xml.rels" ContentType="application/vnd.openxmlformats-package.relationships+xml"/>
  <Override PartName="/word/_rels/header6.xml.rels" ContentType="application/vnd.openxmlformats-package.relationships+xml"/>
  <Override PartName="/word/_rels/footer9.xml.rels" ContentType="application/vnd.openxmlformats-package.relationships+xml"/>
  <Override PartName="/word/_rels/header7.xml.rels" ContentType="application/vnd.openxmlformats-package.relationships+xml"/>
  <Override PartName="/word/_rels/header8.xml.rels" ContentType="application/vnd.openxmlformats-package.relationships+xml"/>
  <Override PartName="/word/_rels/header9.xml.rels" ContentType="application/vnd.openxmlformats-package.relationships+xml"/>
  <Override PartName="/word/_rels/header10.xml.rels" ContentType="application/vnd.openxmlformats-package.relationships+xml"/>
  <Override PartName="/word/_rels/header11.xml.rels" ContentType="application/vnd.openxmlformats-package.relationships+xml"/>
  <Override PartName="/word/_rels/header1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Cabealhoerodap1"/>
        <w:jc w:val="center"/>
        <w:rPr/>
      </w:pPr>
      <w:r>
        <w:rPr/>
        <w:t>PREFEITURA MUNICIPAL DE TERESINA</w:t>
      </w:r>
    </w:p>
    <w:p>
      <w:pPr>
        <w:pStyle w:val="Normal"/>
        <w:ind w:hanging="0"/>
        <w:jc w:val="center"/>
        <w:rPr>
          <w:rFonts w:cs="Arial"/>
          <w:b/>
          <w:bCs/>
        </w:rPr>
      </w:pPr>
      <w:r>
        <w:rPr>
          <w:rFonts w:cs="Arial"/>
          <w:b/>
          <w:bCs/>
        </w:rPr>
      </w:r>
    </w:p>
    <w:p>
      <w:pPr>
        <w:pStyle w:val="Normal"/>
        <w:ind w:hanging="0"/>
        <w:jc w:val="center"/>
        <w:rPr/>
      </w:pPr>
      <w:r>
        <w:rPr/>
      </w:r>
    </w:p>
    <w:p>
      <w:pPr>
        <w:pStyle w:val="Normal"/>
        <w:jc w:val="right"/>
        <w:rPr>
          <w:rFonts w:cs="Arial"/>
        </w:rPr>
      </w:pPr>
      <w:r>
        <w:rPr>
          <w:rFonts w:cs="Arial"/>
        </w:rPr>
      </w:r>
    </w:p>
    <w:p>
      <w:pPr>
        <w:pStyle w:val="Normal"/>
        <w:jc w:val="right"/>
        <w:rPr>
          <w:rFonts w:cs="Arial"/>
          <w:b/>
          <w:bCs/>
        </w:rPr>
      </w:pPr>
      <w:r>
        <w:rPr>
          <w:rFonts w:cs="Arial"/>
          <w:b/>
          <w:bCs/>
        </w:rPr>
      </w:r>
    </w:p>
    <w:p>
      <w:pPr>
        <w:pStyle w:val="Normal"/>
        <w:jc w:val="right"/>
        <w:rPr>
          <w:rFonts w:cs="Arial"/>
          <w:b/>
          <w:bCs/>
        </w:rPr>
      </w:pPr>
      <w:r>
        <w:rPr>
          <w:rFonts w:cs="Arial"/>
          <w:b/>
          <w:bCs/>
        </w:rPr>
      </w:r>
    </w:p>
    <w:p>
      <w:pPr>
        <w:pStyle w:val="Normal"/>
        <w:jc w:val="center"/>
        <w:rPr>
          <w:rFonts w:cs="Arial"/>
          <w:b/>
          <w:bCs/>
          <w:sz w:val="28"/>
          <w:szCs w:val="28"/>
          <w:u w:val="single"/>
        </w:rPr>
      </w:pPr>
      <w:r>
        <w:rPr>
          <w:rFonts w:cs="Arial"/>
          <w:b/>
          <w:bCs/>
          <w:sz w:val="28"/>
          <w:szCs w:val="28"/>
          <w:u w:val="single"/>
        </w:rPr>
      </w:r>
    </w:p>
    <w:p>
      <w:pPr>
        <w:pStyle w:val="Normal"/>
        <w:jc w:val="center"/>
        <w:rPr>
          <w:rFonts w:cs="Arial"/>
          <w:b/>
          <w:bCs/>
          <w:sz w:val="28"/>
          <w:szCs w:val="28"/>
          <w:u w:val="single"/>
        </w:rPr>
      </w:pPr>
      <w:r>
        <w:rPr>
          <w:rFonts w:cs="Arial"/>
          <w:b/>
          <w:bCs/>
          <w:sz w:val="28"/>
          <w:szCs w:val="28"/>
          <w:u w:val="single"/>
        </w:rPr>
      </w:r>
    </w:p>
    <w:p>
      <w:pPr>
        <w:pStyle w:val="Normal"/>
        <w:jc w:val="center"/>
        <w:rPr>
          <w:rFonts w:cs="Arial"/>
          <w:b/>
          <w:bCs/>
          <w:sz w:val="28"/>
          <w:szCs w:val="28"/>
          <w:u w:val="single"/>
        </w:rPr>
      </w:pPr>
      <w:r>
        <w:rPr>
          <w:rFonts w:cs="Arial"/>
          <w:b/>
          <w:bCs/>
          <w:sz w:val="28"/>
          <w:szCs w:val="28"/>
          <w:u w:val="single"/>
        </w:rPr>
      </w:r>
    </w:p>
    <w:p>
      <w:pPr>
        <w:pStyle w:val="Normal"/>
        <w:ind w:hanging="0"/>
        <w:jc w:val="center"/>
        <w:rPr>
          <w:rFonts w:cs="Arial"/>
          <w:b/>
          <w:bCs/>
          <w:sz w:val="28"/>
          <w:szCs w:val="28"/>
          <w:u w:val="single"/>
        </w:rPr>
      </w:pPr>
      <w:r>
        <w:rPr>
          <w:rFonts w:cs="Arial"/>
          <w:b/>
          <w:bCs/>
          <w:sz w:val="28"/>
          <w:szCs w:val="28"/>
          <w:u w:val="single"/>
        </w:rPr>
        <w:t>OMI TERESINA: IDENTIFICAÇÃO DE SUPERESTIMATIVAS E SUBESTIMATIVAS NA AVALIAÇÃO DE TERRENOS, CASAS, APARTAMENTOS/SALAS COMERCIAIS – RELATÓRIO DOS ACHADOS DE MARÇO DE 2026</w:t>
      </w:r>
    </w:p>
    <w:p>
      <w:pPr>
        <w:pStyle w:val="Normal"/>
        <w:jc w:val="center"/>
        <w:rPr>
          <w:rFonts w:cs="Arial"/>
          <w:b/>
          <w:bCs/>
          <w:highlight w:val="yellow"/>
        </w:rPr>
      </w:pPr>
      <w:r>
        <w:rPr>
          <w:rFonts w:cs="Arial"/>
          <w:b/>
          <w:bCs/>
          <w:highlight w:val="yellow"/>
        </w:rPr>
      </w:r>
    </w:p>
    <w:p>
      <w:pPr>
        <w:pStyle w:val="Normal"/>
        <w:jc w:val="center"/>
        <w:rPr>
          <w:rFonts w:cs="Arial"/>
          <w:b/>
          <w:bCs/>
          <w:highlight w:val="yellow"/>
        </w:rPr>
      </w:pPr>
      <w:r>
        <w:rPr>
          <w:rFonts w:cs="Arial"/>
          <w:b/>
          <w:bCs/>
          <w:highlight w:val="yellow"/>
        </w:rPr>
      </w:r>
    </w:p>
    <w:p>
      <w:pPr>
        <w:pStyle w:val="Normal"/>
        <w:jc w:val="center"/>
        <w:rPr>
          <w:rFonts w:cs="Arial"/>
          <w:b/>
          <w:bCs/>
          <w:highlight w:val="yellow"/>
        </w:rPr>
      </w:pPr>
      <w:r>
        <w:rPr>
          <w:rFonts w:cs="Arial"/>
          <w:b/>
          <w:bCs/>
          <w:highlight w:val="yellow"/>
        </w:rPr>
      </w:r>
    </w:p>
    <w:p>
      <w:pPr>
        <w:pStyle w:val="Normal"/>
        <w:jc w:val="center"/>
        <w:rPr>
          <w:rFonts w:cs="Arial"/>
          <w:b/>
          <w:bCs/>
          <w:highlight w:val="yellow"/>
        </w:rPr>
      </w:pPr>
      <w:r>
        <w:rPr>
          <w:rFonts w:cs="Arial"/>
          <w:b/>
          <w:bCs/>
          <w:highlight w:val="yellow"/>
        </w:rPr>
      </w:r>
    </w:p>
    <w:p>
      <w:pPr>
        <w:pStyle w:val="Normal"/>
        <w:jc w:val="center"/>
        <w:rPr>
          <w:rFonts w:cs="Arial"/>
          <w:b/>
          <w:bCs/>
          <w:highlight w:val="yellow"/>
        </w:rPr>
      </w:pPr>
      <w:r>
        <w:rPr>
          <w:rFonts w:cs="Arial"/>
          <w:b/>
          <w:bCs/>
          <w:highlight w:val="yellow"/>
        </w:rPr>
      </w:r>
    </w:p>
    <w:p>
      <w:pPr>
        <w:pStyle w:val="Normal"/>
        <w:jc w:val="center"/>
        <w:rPr>
          <w:rFonts w:cs="Arial"/>
          <w:b/>
          <w:bCs/>
          <w:highlight w:val="yellow"/>
        </w:rPr>
      </w:pPr>
      <w:r>
        <w:rPr>
          <w:rFonts w:cs="Arial"/>
          <w:b/>
          <w:bCs/>
          <w:highlight w:val="yellow"/>
        </w:rPr>
      </w:r>
    </w:p>
    <w:p>
      <w:pPr>
        <w:pStyle w:val="Normal"/>
        <w:jc w:val="center"/>
        <w:rPr>
          <w:rFonts w:cs="Arial"/>
          <w:b/>
          <w:bCs/>
          <w:highlight w:val="yellow"/>
        </w:rPr>
      </w:pPr>
      <w:r>
        <w:rPr>
          <w:rFonts w:cs="Arial"/>
          <w:b/>
          <w:bCs/>
          <w:highlight w:val="yellow"/>
        </w:rPr>
      </w:r>
    </w:p>
    <w:p>
      <w:pPr>
        <w:pStyle w:val="Normal"/>
        <w:jc w:val="right"/>
        <w:rPr/>
      </w:pPr>
      <w:r>
        <w:rPr>
          <w:rFonts w:cs="Arial"/>
        </w:rPr>
        <w:t>CONTRATO Nº 023/2025/SEMF</w:t>
      </w:r>
    </w:p>
    <w:p>
      <w:pPr>
        <w:pStyle w:val="Normal"/>
        <w:jc w:val="right"/>
        <w:rPr>
          <w:rFonts w:cs="Arial"/>
          <w:bCs/>
        </w:rPr>
      </w:pPr>
      <w:r>
        <w:rPr>
          <w:rFonts w:cs="Arial"/>
          <w:bCs/>
        </w:rPr>
        <w:t>PREGÃO ELETRÔNICO Nº 9011/2025 - SEMA/PMT</w:t>
      </w:r>
    </w:p>
    <w:p>
      <w:pPr>
        <w:pStyle w:val="Normal"/>
        <w:jc w:val="right"/>
        <w:rPr>
          <w:rFonts w:cs="Arial"/>
          <w:bCs/>
        </w:rPr>
      </w:pPr>
      <w:r>
        <w:rPr>
          <w:rFonts w:cs="Arial"/>
          <w:bCs/>
        </w:rPr>
        <w:t>PROCESSO ADMINISTRATIVO SEI Nº 00043.005411/2025-06</w:t>
      </w:r>
    </w:p>
    <w:p>
      <w:pPr>
        <w:pStyle w:val="Normal"/>
        <w:jc w:val="right"/>
        <w:rPr>
          <w:rFonts w:cs="Arial"/>
        </w:rPr>
      </w:pPr>
      <w:r>
        <w:rPr>
          <w:rFonts w:cs="Arial"/>
        </w:rPr>
        <w:t>EXECUÇÃO: ETOPOCART GEO360 LTDA</w:t>
      </w:r>
    </w:p>
    <w:p>
      <w:pPr>
        <w:pStyle w:val="Normal"/>
        <w:jc w:val="center"/>
        <w:rPr>
          <w:rFonts w:cs="Arial"/>
          <w:bCs/>
        </w:rPr>
      </w:pPr>
      <w:r>
        <w:rPr>
          <w:rFonts w:cs="Arial"/>
          <w:bCs/>
        </w:rPr>
      </w:r>
    </w:p>
    <w:p>
      <w:pPr>
        <w:pStyle w:val="Normal"/>
        <w:jc w:val="center"/>
        <w:rPr>
          <w:rFonts w:cs="Arial"/>
          <w:bCs/>
        </w:rPr>
      </w:pPr>
      <w:r>
        <w:rPr>
          <w:rFonts w:cs="Arial"/>
          <w:bCs/>
        </w:rPr>
      </w:r>
    </w:p>
    <w:p>
      <w:pPr>
        <w:pStyle w:val="Normal"/>
        <w:ind w:hanging="0"/>
        <w:jc w:val="center"/>
        <w:rPr>
          <w:rFonts w:cs="Arial"/>
          <w:bCs/>
        </w:rPr>
      </w:pPr>
      <w:r>
        <w:rPr>
          <w:rFonts w:cs="Arial"/>
          <w:bCs/>
        </w:rPr>
        <w:t xml:space="preserve">Criciúma, </w:t>
      </w:r>
      <w:r>
        <w:rPr>
          <w:rFonts w:cs="Arial"/>
          <w:bCs/>
        </w:rPr>
        <w:t>29</w:t>
      </w:r>
      <w:r>
        <w:rPr>
          <w:rFonts w:cs="Arial"/>
          <w:bCs/>
        </w:rPr>
        <w:t xml:space="preserve"> de maio de 2026</w:t>
      </w:r>
    </w:p>
    <w:sdt>
      <w:sdtPr>
        <w:docPartObj>
          <w:docPartGallery w:val="Table of Contents"/>
          <w:docPartUnique w:val="true"/>
        </w:docPartObj>
      </w:sdtPr>
      <w:sdtContent>
        <w:p>
          <w:pPr>
            <w:pStyle w:val="TOCHeading"/>
            <w:jc w:val="center"/>
            <w:rPr/>
          </w:pPr>
          <w:r>
            <w:rPr/>
            <w:t>SUMÁRIO</w:t>
            <w:br/>
          </w:r>
        </w:p>
        <w:p>
          <w:pPr>
            <w:pStyle w:val="TOC1"/>
            <w:tabs>
              <w:tab w:val="clear" w:pos="567"/>
              <w:tab w:val="clear" w:pos="9061"/>
              <w:tab w:val="right" w:pos="9071" w:leader="dot"/>
            </w:tabs>
            <w:rPr/>
          </w:pPr>
          <w:r>
            <w:fldChar w:fldCharType="begin"/>
          </w:r>
          <w:r>
            <w:rPr>
              <w:rStyle w:val="Vnculodendice"/>
            </w:rPr>
            <w:instrText xml:space="preserve"> TOC \f \o "1-9" \h</w:instrText>
          </w:r>
          <w:r>
            <w:rPr>
              <w:rStyle w:val="Vnculodendice"/>
            </w:rPr>
            <w:fldChar w:fldCharType="separate"/>
          </w:r>
          <w:hyperlink w:anchor="__RefHeading___Toc12815_1774815877">
            <w:r>
              <w:rPr>
                <w:rStyle w:val="Vnculodendice"/>
              </w:rPr>
              <w:t>1. CONTEXTO</w:t>
              <w:tab/>
              <w:t>5</w:t>
            </w:r>
          </w:hyperlink>
        </w:p>
        <w:p>
          <w:pPr>
            <w:pStyle w:val="TOC1"/>
            <w:tabs>
              <w:tab w:val="clear" w:pos="567"/>
              <w:tab w:val="clear" w:pos="9061"/>
              <w:tab w:val="right" w:pos="9071" w:leader="dot"/>
            </w:tabs>
            <w:rPr/>
          </w:pPr>
          <w:hyperlink w:anchor="__RefHeading___Toc12817_1774815877">
            <w:r>
              <w:rPr>
                <w:rStyle w:val="Vnculodendice"/>
              </w:rPr>
              <w:t>2. DIVERGÊNCIA ENTRE VALOR DO OMI E VALOR DE AVALIAÇÃO DO AUDITOR</w:t>
              <w:tab/>
              <w:t>6</w:t>
            </w:r>
          </w:hyperlink>
        </w:p>
        <w:p>
          <w:pPr>
            <w:pStyle w:val="TOC1"/>
            <w:tabs>
              <w:tab w:val="clear" w:pos="567"/>
              <w:tab w:val="clear" w:pos="9061"/>
              <w:tab w:val="right" w:pos="9071" w:leader="dot"/>
            </w:tabs>
            <w:rPr/>
          </w:pPr>
          <w:hyperlink w:anchor="__RefHeading___Toc12819_1774815877">
            <w:r>
              <w:rPr>
                <w:rStyle w:val="Vnculodendice"/>
              </w:rPr>
              <w:t>3. ANÁLISE DAS AMOSTRAS DE TERRENOS</w:t>
              <w:tab/>
              <w:t>9</w:t>
            </w:r>
          </w:hyperlink>
        </w:p>
        <w:p>
          <w:pPr>
            <w:pStyle w:val="TOC3"/>
            <w:tabs>
              <w:tab w:val="clear" w:pos="9061"/>
              <w:tab w:val="left" w:pos="1985" w:leader="none"/>
              <w:tab w:val="right" w:pos="9071" w:leader="dot"/>
            </w:tabs>
            <w:rPr/>
          </w:pPr>
          <w:hyperlink w:anchor="__RefHeading___Toc12821_1774815877">
            <w:r>
              <w:rPr>
                <w:rStyle w:val="Vnculodendice"/>
              </w:rPr>
              <w:tab/>
              <w:t>3.1 Segundo conjunto amostral de terrenos</w:t>
              <w:tab/>
              <w:t>16</w:t>
            </w:r>
          </w:hyperlink>
        </w:p>
        <w:p>
          <w:pPr>
            <w:pStyle w:val="TOC1"/>
            <w:tabs>
              <w:tab w:val="clear" w:pos="567"/>
              <w:tab w:val="clear" w:pos="9061"/>
              <w:tab w:val="right" w:pos="9071" w:leader="dot"/>
            </w:tabs>
            <w:rPr/>
          </w:pPr>
          <w:hyperlink w:anchor="__RefHeading___Toc12823_1774815877">
            <w:r>
              <w:rPr>
                <w:rStyle w:val="Vnculodendice"/>
              </w:rPr>
              <w:t>4. ANÁLISE DAS AMOSTRAS DE CASAS</w:t>
              <w:tab/>
              <w:t>17</w:t>
            </w:r>
          </w:hyperlink>
        </w:p>
        <w:p>
          <w:pPr>
            <w:pStyle w:val="TOC1"/>
            <w:tabs>
              <w:tab w:val="clear" w:pos="567"/>
              <w:tab w:val="clear" w:pos="9061"/>
              <w:tab w:val="right" w:pos="9071" w:leader="dot"/>
            </w:tabs>
            <w:rPr/>
          </w:pPr>
          <w:hyperlink w:anchor="__RefHeading___Toc12825_1774815877">
            <w:r>
              <w:rPr>
                <w:rStyle w:val="Vnculodendice"/>
              </w:rPr>
              <w:t>5. ANÁLISE DAS AMOSTRAS DE APARTAMENTOS E SALAS COMERCIAIS</w:t>
              <w:tab/>
              <w:t>29</w:t>
            </w:r>
          </w:hyperlink>
        </w:p>
        <w:p>
          <w:pPr>
            <w:pStyle w:val="TOC3"/>
            <w:tabs>
              <w:tab w:val="clear" w:pos="9061"/>
              <w:tab w:val="left" w:pos="1985" w:leader="none"/>
              <w:tab w:val="right" w:pos="9071" w:leader="dot"/>
            </w:tabs>
            <w:rPr/>
          </w:pPr>
          <w:hyperlink w:anchor="__RefHeading___Toc12827_1774815877">
            <w:r>
              <w:rPr>
                <w:rStyle w:val="Vnculodendice"/>
              </w:rPr>
              <w:tab/>
              <w:t>5.1 Segundo conjunto amostral de apartamentos/salas</w:t>
              <w:tab/>
              <w:t>53</w:t>
            </w:r>
          </w:hyperlink>
        </w:p>
        <w:p>
          <w:pPr>
            <w:pStyle w:val="TOC1"/>
            <w:tabs>
              <w:tab w:val="clear" w:pos="567"/>
              <w:tab w:val="clear" w:pos="9061"/>
              <w:tab w:val="right" w:pos="9071" w:leader="dot"/>
            </w:tabs>
            <w:rPr/>
          </w:pPr>
          <w:hyperlink w:anchor="__RefHeading___Toc12829_1774815877">
            <w:r>
              <w:rPr>
                <w:rStyle w:val="Vnculodendice"/>
              </w:rPr>
              <w:t>6. ANÁLISE DAS AMOSTRAS DE LOTEAMENTOS</w:t>
              <w:tab/>
              <w:t>58</w:t>
            </w:r>
          </w:hyperlink>
        </w:p>
        <w:p>
          <w:pPr>
            <w:pStyle w:val="TOC1"/>
            <w:tabs>
              <w:tab w:val="clear" w:pos="567"/>
              <w:tab w:val="clear" w:pos="9061"/>
              <w:tab w:val="right" w:pos="9071" w:leader="dot"/>
            </w:tabs>
            <w:rPr/>
          </w:pPr>
          <w:hyperlink w:anchor="__RefHeading___Toc12831_1774815877">
            <w:r>
              <w:rPr>
                <w:rStyle w:val="Vnculodendice"/>
              </w:rPr>
              <w:t>7. CONSIDERAÇÕES FINAIS</w:t>
              <w:tab/>
              <w:t>60</w:t>
            </w:r>
          </w:hyperlink>
          <w:r>
            <w:rPr>
              <w:rStyle w:val="Vnculodendice"/>
            </w:rPr>
            <w:fldChar w:fldCharType="end"/>
          </w:r>
        </w:p>
      </w:sdtContent>
    </w:sdt>
    <w:p>
      <w:pPr>
        <w:pStyle w:val="Normal"/>
        <w:spacing w:lineRule="auto" w:line="240"/>
        <w:ind w:hanging="0"/>
        <w:jc w:val="left"/>
        <w:rPr/>
      </w:pPr>
      <w:r>
        <w:rPr/>
      </w:r>
      <w:r>
        <w:br w:type="page"/>
      </w:r>
    </w:p>
    <w:p>
      <w:pPr>
        <w:pStyle w:val="Normal"/>
        <w:spacing w:lineRule="auto" w:line="240" w:before="0" w:after="0"/>
        <w:ind w:hanging="0"/>
        <w:jc w:val="center"/>
        <w:rPr>
          <w:b/>
          <w:bCs/>
        </w:rPr>
      </w:pPr>
      <w:r>
        <w:rPr>
          <w:b/>
          <w:bCs/>
        </w:rPr>
        <w:t>LISTA DE FIGURAS</w:t>
      </w:r>
    </w:p>
    <w:p>
      <w:pPr>
        <w:pStyle w:val="Normal"/>
        <w:spacing w:lineRule="auto" w:line="240"/>
        <w:ind w:hanging="0"/>
        <w:jc w:val="left"/>
        <w:rPr/>
      </w:pPr>
      <w:r>
        <w:rPr/>
      </w:r>
    </w:p>
    <w:p>
      <w:pPr>
        <w:pStyle w:val="TableofFigures"/>
        <w:rPr>
          <w:rFonts w:ascii="Calibri" w:hAnsi="Calibri" w:eastAsia="" w:cs="" w:asciiTheme="minorHAnsi" w:cstheme="minorBidi" w:eastAsiaTheme="minorEastAsia" w:hAnsiTheme="minorHAnsi"/>
          <w:lang w:eastAsia="pt-BR" w:bidi="ar-SA"/>
          <w14:ligatures w14:val="standardContextual"/>
        </w:rPr>
      </w:pPr>
      <w:r>
        <w:fldChar w:fldCharType="begin"/>
      </w:r>
      <w:r>
        <w:rPr>
          <w:rFonts w:cs="Arial"/>
        </w:rPr>
        <w:instrText xml:space="preserve"> TOC \c "Figura" \h </w:instrText>
      </w:r>
      <w:r>
        <w:rPr>
          <w:rFonts w:cs="Arial"/>
        </w:rPr>
        <w:fldChar w:fldCharType="separate"/>
      </w:r>
      <w:r>
        <w:rPr>
          <w:rFonts w:cs="Arial"/>
        </w:rPr>
        <w:t>Figura 1 - Espacialização das tipologias com avaliação.</w:t>
      </w:r>
      <w:r>
        <w:rPr/>
        <w:tab/>
        <w:t>7</w:t>
      </w:r>
    </w:p>
    <w:p>
      <w:pPr>
        <w:pStyle w:val="TableofFigures"/>
        <w:rPr>
          <w:rFonts w:ascii="Calibri" w:hAnsi="Calibri" w:eastAsia="" w:cs="" w:asciiTheme="minorHAnsi" w:cstheme="minorBidi" w:eastAsiaTheme="minorEastAsia" w:hAnsiTheme="minorHAnsi"/>
          <w:lang w:eastAsia="pt-BR" w:bidi="ar-SA"/>
          <w14:ligatures w14:val="standardContextual"/>
        </w:rPr>
      </w:pPr>
      <w:r>
        <w:rPr>
          <w:rFonts w:cs="Arial"/>
        </w:rPr>
        <w:t>Figura 2 – Avaliação dos Auditores x OMI para terrenos.</w:t>
      </w:r>
      <w:r>
        <w:rPr/>
        <w:tab/>
        <w:t>12</w:t>
      </w:r>
    </w:p>
    <w:p>
      <w:pPr>
        <w:pStyle w:val="TableofFigures"/>
        <w:rPr>
          <w:rFonts w:ascii="Calibri" w:hAnsi="Calibri" w:eastAsia="" w:cs="" w:asciiTheme="minorHAnsi" w:cstheme="minorBidi" w:eastAsiaTheme="minorEastAsia" w:hAnsiTheme="minorHAnsi"/>
          <w:lang w:eastAsia="pt-BR" w:bidi="ar-SA"/>
          <w14:ligatures w14:val="standardContextual"/>
        </w:rPr>
      </w:pPr>
      <w:r>
        <w:rPr>
          <w:rFonts w:cs="Arial"/>
        </w:rPr>
        <w:t>Figura 3 – Histograma dos resíduos percentuais para terrenos.</w:t>
      </w:r>
      <w:r>
        <w:rPr/>
        <w:tab/>
        <w:t>13</w:t>
      </w:r>
    </w:p>
    <w:p>
      <w:pPr>
        <w:pStyle w:val="TableofFigures"/>
        <w:rPr>
          <w:rFonts w:ascii="Calibri" w:hAnsi="Calibri" w:eastAsia="" w:cs="" w:asciiTheme="minorHAnsi" w:cstheme="minorBidi" w:eastAsiaTheme="minorEastAsia" w:hAnsiTheme="minorHAnsi"/>
          <w:lang w:eastAsia="pt-BR" w:bidi="ar-SA"/>
          <w14:ligatures w14:val="standardContextual"/>
        </w:rPr>
      </w:pPr>
      <w:r>
        <w:rPr>
          <w:rFonts w:cs="Arial"/>
        </w:rPr>
        <w:t>Figura 4 – Localização dos terrenos avaliados e rotulagem dos resíduos.</w:t>
      </w:r>
      <w:r>
        <w:rPr/>
        <w:tab/>
        <w:t>14</w:t>
      </w:r>
    </w:p>
    <w:p>
      <w:pPr>
        <w:pStyle w:val="TableofFigures"/>
        <w:rPr>
          <w:rFonts w:ascii="Calibri" w:hAnsi="Calibri" w:eastAsia="" w:cs="" w:asciiTheme="minorHAnsi" w:cstheme="minorBidi" w:eastAsiaTheme="minorEastAsia" w:hAnsiTheme="minorHAnsi"/>
          <w:lang w:eastAsia="pt-BR" w:bidi="ar-SA"/>
          <w14:ligatures w14:val="standardContextual"/>
        </w:rPr>
      </w:pPr>
      <w:r>
        <w:rPr>
          <w:rFonts w:cs="Arial"/>
        </w:rPr>
        <w:t>Figura 5 – Avaliação do auditor x OMI após ajuste de CUB para casas.</w:t>
      </w:r>
      <w:r>
        <w:rPr/>
        <w:tab/>
        <w:t>16</w:t>
      </w:r>
    </w:p>
    <w:p>
      <w:pPr>
        <w:pStyle w:val="TableofFigures"/>
        <w:rPr>
          <w:rFonts w:ascii="Calibri" w:hAnsi="Calibri" w:eastAsia="" w:cs="" w:asciiTheme="minorHAnsi" w:cstheme="minorBidi" w:eastAsiaTheme="minorEastAsia" w:hAnsiTheme="minorHAnsi"/>
          <w:lang w:eastAsia="pt-BR" w:bidi="ar-SA"/>
          <w14:ligatures w14:val="standardContextual"/>
        </w:rPr>
      </w:pPr>
      <w:r>
        <w:rPr>
          <w:rFonts w:cs="Arial"/>
        </w:rPr>
        <w:t>Figura 6 – Avaliação do auditor x OMI após ajuste de CUB para casas.</w:t>
      </w:r>
      <w:r>
        <w:rPr/>
        <w:tab/>
        <w:t>18</w:t>
      </w:r>
    </w:p>
    <w:p>
      <w:pPr>
        <w:pStyle w:val="TableofFigures"/>
        <w:rPr>
          <w:rFonts w:ascii="Calibri" w:hAnsi="Calibri" w:eastAsia="" w:cs="" w:asciiTheme="minorHAnsi" w:cstheme="minorBidi" w:eastAsiaTheme="minorEastAsia" w:hAnsiTheme="minorHAnsi"/>
          <w:lang w:eastAsia="pt-BR" w:bidi="ar-SA"/>
          <w14:ligatures w14:val="standardContextual"/>
        </w:rPr>
      </w:pPr>
      <w:r>
        <w:rPr>
          <w:rFonts w:cs="Arial"/>
        </w:rPr>
        <w:t>Figura 7 – Histograma dos resíduos percentuais para casas.</w:t>
      </w:r>
      <w:r>
        <w:rPr/>
        <w:tab/>
        <w:t>26</w:t>
      </w:r>
    </w:p>
    <w:p>
      <w:pPr>
        <w:pStyle w:val="TableofFigures"/>
        <w:rPr>
          <w:rFonts w:ascii="Calibri" w:hAnsi="Calibri" w:eastAsia="" w:cs="" w:asciiTheme="minorHAnsi" w:cstheme="minorBidi" w:eastAsiaTheme="minorEastAsia" w:hAnsiTheme="minorHAnsi"/>
          <w:lang w:eastAsia="pt-BR" w:bidi="ar-SA"/>
          <w14:ligatures w14:val="standardContextual"/>
        </w:rPr>
      </w:pPr>
      <w:r>
        <w:rPr>
          <w:rFonts w:cs="Arial"/>
        </w:rPr>
        <w:t>Figura 8 – Localização das casas avaliadas e sua rotulagem dos resíduos.</w:t>
      </w:r>
      <w:r>
        <w:rPr/>
        <w:tab/>
        <w:t>27</w:t>
      </w:r>
    </w:p>
    <w:p>
      <w:pPr>
        <w:pStyle w:val="TableofFigures"/>
        <w:rPr>
          <w:rFonts w:ascii="Calibri" w:hAnsi="Calibri" w:eastAsia="" w:cs="" w:asciiTheme="minorHAnsi" w:cstheme="minorBidi" w:eastAsiaTheme="minorEastAsia" w:hAnsiTheme="minorHAnsi"/>
          <w:lang w:eastAsia="pt-BR" w:bidi="ar-SA"/>
          <w14:ligatures w14:val="standardContextual"/>
        </w:rPr>
      </w:pPr>
      <w:r>
        <w:rPr>
          <w:rFonts w:cs="Arial"/>
        </w:rPr>
        <w:t>Figura 9 – Avaliação do Auditor x OMI para apartamentos e salas comerciais.</w:t>
      </w:r>
      <w:r>
        <w:rPr/>
        <w:tab/>
        <w:t>28</w:t>
      </w:r>
    </w:p>
    <w:p>
      <w:pPr>
        <w:pStyle w:val="TableofFigures"/>
        <w:rPr>
          <w:rFonts w:ascii="Calibri" w:hAnsi="Calibri" w:eastAsia="" w:cs="" w:asciiTheme="minorHAnsi" w:cstheme="minorBidi" w:eastAsiaTheme="minorEastAsia" w:hAnsiTheme="minorHAnsi"/>
          <w:lang w:eastAsia="pt-BR" w:bidi="ar-SA"/>
          <w14:ligatures w14:val="standardContextual"/>
        </w:rPr>
      </w:pPr>
      <w:r>
        <w:rPr>
          <w:rFonts w:cs="Arial"/>
        </w:rPr>
        <w:t>Figura 10 – Histograma dos resíduos percentuais para apartamentos e salas comerciais.</w:t>
      </w:r>
      <w:r>
        <w:rPr/>
        <w:tab/>
        <w:t>40</w:t>
      </w:r>
    </w:p>
    <w:p>
      <w:pPr>
        <w:pStyle w:val="TableofFigures"/>
        <w:rPr>
          <w:rFonts w:ascii="Calibri" w:hAnsi="Calibri" w:eastAsia="" w:cs="" w:asciiTheme="minorHAnsi" w:cstheme="minorBidi" w:eastAsiaTheme="minorEastAsia" w:hAnsiTheme="minorHAnsi"/>
          <w:lang w:eastAsia="pt-BR" w:bidi="ar-SA"/>
          <w14:ligatures w14:val="standardContextual"/>
        </w:rPr>
      </w:pPr>
      <w:r>
        <w:rPr>
          <w:rFonts w:cs="Arial"/>
        </w:rPr>
        <w:t>Figura 11 – Localização dos apartamentos e salas avaliados e sua rotulagem de resíduos.</w:t>
      </w:r>
      <w:r>
        <w:rPr/>
        <w:tab/>
        <w:t>41</w:t>
      </w:r>
      <w:r>
        <w:rPr/>
        <w:fldChar w:fldCharType="end"/>
      </w:r>
    </w:p>
    <w:p>
      <w:pPr>
        <w:pStyle w:val="Normal"/>
        <w:spacing w:lineRule="auto" w:line="240"/>
        <w:ind w:hanging="0"/>
        <w:jc w:val="left"/>
        <w:rPr/>
      </w:pPr>
      <w:r>
        <w:rPr/>
      </w:r>
    </w:p>
    <w:p>
      <w:pPr>
        <w:pStyle w:val="Normal"/>
        <w:spacing w:lineRule="auto" w:line="240"/>
        <w:ind w:hanging="0"/>
        <w:jc w:val="left"/>
        <w:rPr/>
      </w:pPr>
      <w:r>
        <w:rPr/>
      </w:r>
    </w:p>
    <w:p>
      <w:pPr>
        <w:pStyle w:val="Normal"/>
        <w:spacing w:lineRule="auto" w:line="240"/>
        <w:ind w:hanging="0"/>
        <w:jc w:val="left"/>
        <w:rPr/>
      </w:pPr>
      <w:r>
        <w:rPr/>
      </w:r>
      <w:r>
        <w:br w:type="page"/>
      </w:r>
    </w:p>
    <w:p>
      <w:pPr>
        <w:pStyle w:val="Normal"/>
        <w:spacing w:lineRule="auto" w:line="240" w:before="0" w:after="0"/>
        <w:ind w:hanging="0"/>
        <w:jc w:val="center"/>
        <w:rPr>
          <w:b/>
          <w:bCs/>
        </w:rPr>
      </w:pPr>
      <w:r>
        <w:rPr>
          <w:b/>
          <w:bCs/>
        </w:rPr>
        <w:t>LISTA DE TABELAS</w:t>
      </w:r>
    </w:p>
    <w:p>
      <w:pPr>
        <w:pStyle w:val="Normal"/>
        <w:spacing w:lineRule="auto" w:line="240"/>
        <w:ind w:hanging="0"/>
        <w:jc w:val="left"/>
        <w:rPr/>
      </w:pPr>
      <w:r>
        <w:rPr/>
      </w:r>
    </w:p>
    <w:p>
      <w:pPr>
        <w:pStyle w:val="Normal"/>
        <w:spacing w:lineRule="auto" w:line="240"/>
        <w:ind w:hanging="0"/>
        <w:jc w:val="left"/>
        <w:rPr/>
      </w:pPr>
      <w:r>
        <w:rPr/>
      </w:r>
    </w:p>
    <w:p>
      <w:pPr>
        <w:pStyle w:val="TableofFigures"/>
        <w:rPr>
          <w:rFonts w:ascii="Calibri" w:hAnsi="Calibri" w:eastAsia="" w:cs="" w:asciiTheme="minorHAnsi" w:cstheme="minorBidi" w:eastAsiaTheme="minorEastAsia" w:hAnsiTheme="minorHAnsi"/>
          <w:lang w:eastAsia="pt-BR" w:bidi="ar-SA"/>
          <w14:ligatures w14:val="standardContextual"/>
        </w:rPr>
      </w:pPr>
      <w:r>
        <w:fldChar w:fldCharType="begin"/>
      </w:r>
      <w:r>
        <w:rPr>
          <w:rStyle w:val="Vnculodendice"/>
          <w:rFonts w:cs="Arial"/>
        </w:rPr>
        <w:instrText xml:space="preserve"> TOC \c "Tabela" \h </w:instrText>
      </w:r>
      <w:r>
        <w:rPr>
          <w:rStyle w:val="Vnculodendice"/>
          <w:rFonts w:cs="Arial"/>
        </w:rPr>
        <w:fldChar w:fldCharType="separate"/>
      </w:r>
      <w:hyperlink w:anchor="_Toc230704352">
        <w:r>
          <w:rPr>
            <w:rStyle w:val="Vnculodendice"/>
            <w:rFonts w:cs="Arial"/>
          </w:rPr>
          <w:t>Tabela 1 – Tabela comparativa entre Valor de avaliação x OMI para terrenos.</w:t>
        </w:r>
        <w:r>
          <w:rPr>
            <w:webHidden/>
          </w:rPr>
          <w:fldChar w:fldCharType="begin"/>
        </w:r>
        <w:r>
          <w:rPr>
            <w:webHidden/>
          </w:rPr>
          <w:instrText xml:space="preserve">PAGEREF _Toc230704352 \h</w:instrText>
        </w:r>
        <w:r>
          <w:rPr>
            <w:webHidden/>
          </w:rPr>
          <w:fldChar w:fldCharType="separate"/>
        </w:r>
        <w:r>
          <w:rPr>
            <w:rStyle w:val="Vnculodendice"/>
            <w:vanish w:val="false"/>
          </w:rPr>
          <w:tab/>
          <w:t>9</w:t>
        </w:r>
        <w:r>
          <w:rPr>
            <w:webHidden/>
          </w:rPr>
          <w:fldChar w:fldCharType="end"/>
        </w:r>
      </w:hyperlink>
    </w:p>
    <w:p>
      <w:pPr>
        <w:pStyle w:val="TableofFigures"/>
        <w:rPr>
          <w:rFonts w:ascii="Calibri" w:hAnsi="Calibri" w:eastAsia="" w:cs="" w:asciiTheme="minorHAnsi" w:cstheme="minorBidi" w:eastAsiaTheme="minorEastAsia" w:hAnsiTheme="minorHAnsi"/>
          <w:lang w:eastAsia="pt-BR" w:bidi="ar-SA"/>
          <w14:ligatures w14:val="standardContextual"/>
        </w:rPr>
      </w:pPr>
      <w:hyperlink w:anchor="_Toc230704353">
        <w:r>
          <w:rPr>
            <w:rStyle w:val="Vnculodendice"/>
            <w:rFonts w:cs="Arial"/>
          </w:rPr>
          <w:t>Tabela 2 - Tabela comparativa entre Valor do Metro Quadrado (VM2) das amostras e da PVG</w:t>
        </w:r>
        <w:r>
          <w:rPr>
            <w:webHidden/>
          </w:rPr>
          <w:fldChar w:fldCharType="begin"/>
        </w:r>
        <w:r>
          <w:rPr>
            <w:webHidden/>
          </w:rPr>
          <w:instrText xml:space="preserve">PAGEREF _Toc230704353 \h</w:instrText>
        </w:r>
        <w:r>
          <w:rPr>
            <w:webHidden/>
          </w:rPr>
          <w:fldChar w:fldCharType="separate"/>
        </w:r>
        <w:r>
          <w:rPr>
            <w:rStyle w:val="Vnculodendice"/>
            <w:vanish w:val="false"/>
          </w:rPr>
          <w:tab/>
          <w:t>15</w:t>
        </w:r>
        <w:r>
          <w:rPr>
            <w:webHidden/>
          </w:rPr>
          <w:fldChar w:fldCharType="end"/>
        </w:r>
      </w:hyperlink>
    </w:p>
    <w:p>
      <w:pPr>
        <w:pStyle w:val="TableofFigures"/>
        <w:rPr>
          <w:rFonts w:ascii="Calibri" w:hAnsi="Calibri" w:eastAsia="" w:cs="" w:asciiTheme="minorHAnsi" w:cstheme="minorBidi" w:eastAsiaTheme="minorEastAsia" w:hAnsiTheme="minorHAnsi"/>
          <w:lang w:eastAsia="pt-BR" w:bidi="ar-SA"/>
          <w14:ligatures w14:val="standardContextual"/>
        </w:rPr>
      </w:pPr>
      <w:hyperlink w:anchor="_Toc230704354">
        <w:r>
          <w:rPr>
            <w:rStyle w:val="Vnculodendice"/>
            <w:rFonts w:cs="Arial"/>
          </w:rPr>
          <w:t>Tabela 3 – Tabela de avaliação de casas com consulta ao OMI.</w:t>
        </w:r>
        <w:r>
          <w:rPr>
            <w:webHidden/>
          </w:rPr>
          <w:fldChar w:fldCharType="begin"/>
        </w:r>
        <w:r>
          <w:rPr>
            <w:webHidden/>
          </w:rPr>
          <w:instrText xml:space="preserve">PAGEREF _Toc230704354 \h</w:instrText>
        </w:r>
        <w:r>
          <w:rPr>
            <w:webHidden/>
          </w:rPr>
          <w:fldChar w:fldCharType="separate"/>
        </w:r>
        <w:r>
          <w:rPr>
            <w:rStyle w:val="Vnculodendice"/>
            <w:vanish w:val="false"/>
          </w:rPr>
          <w:tab/>
          <w:t>19</w:t>
        </w:r>
        <w:r>
          <w:rPr>
            <w:webHidden/>
          </w:rPr>
          <w:fldChar w:fldCharType="end"/>
        </w:r>
      </w:hyperlink>
    </w:p>
    <w:p>
      <w:pPr>
        <w:pStyle w:val="TableofFigures"/>
        <w:rPr>
          <w:rFonts w:ascii="Calibri" w:hAnsi="Calibri" w:eastAsia="" w:cs="" w:asciiTheme="minorHAnsi" w:cstheme="minorBidi" w:eastAsiaTheme="minorEastAsia" w:hAnsiTheme="minorHAnsi"/>
          <w:lang w:eastAsia="pt-BR" w:bidi="ar-SA"/>
          <w14:ligatures w14:val="standardContextual"/>
        </w:rPr>
      </w:pPr>
      <w:hyperlink w:anchor="_Toc230704355">
        <w:r>
          <w:rPr>
            <w:rStyle w:val="Vnculodendice"/>
            <w:rFonts w:cs="Arial"/>
          </w:rPr>
          <w:t>Tabela 4 – Tabela de avaliação de apartamentos.</w:t>
        </w:r>
        <w:r>
          <w:rPr>
            <w:webHidden/>
          </w:rPr>
          <w:fldChar w:fldCharType="begin"/>
        </w:r>
        <w:r>
          <w:rPr>
            <w:webHidden/>
          </w:rPr>
          <w:instrText xml:space="preserve">PAGEREF _Toc230704355 \h</w:instrText>
        </w:r>
        <w:r>
          <w:rPr>
            <w:webHidden/>
          </w:rPr>
          <w:fldChar w:fldCharType="separate"/>
        </w:r>
        <w:r>
          <w:rPr>
            <w:rStyle w:val="Vnculodendice"/>
            <w:vanish w:val="false"/>
          </w:rPr>
          <w:tab/>
          <w:t>30</w:t>
        </w:r>
        <w:r>
          <w:rPr>
            <w:webHidden/>
          </w:rPr>
          <w:fldChar w:fldCharType="end"/>
        </w:r>
      </w:hyperlink>
    </w:p>
    <w:p>
      <w:pPr>
        <w:pStyle w:val="TableofFigures"/>
        <w:rPr>
          <w:rFonts w:ascii="Calibri" w:hAnsi="Calibri" w:eastAsia="" w:cs="" w:asciiTheme="minorHAnsi" w:cstheme="minorBidi" w:eastAsiaTheme="minorEastAsia" w:hAnsiTheme="minorHAnsi"/>
          <w:lang w:eastAsia="pt-BR" w:bidi="ar-SA"/>
          <w14:ligatures w14:val="standardContextual"/>
        </w:rPr>
      </w:pPr>
      <w:hyperlink w:anchor="_Toc230704356">
        <w:r>
          <w:rPr>
            <w:rStyle w:val="Vnculodendice"/>
            <w:rFonts w:cs="Arial"/>
          </w:rPr>
          <w:t>Tabela 5 - Comparação dos valores das amostras de apartamentos/salas por condomínio com o OMI</w:t>
        </w:r>
        <w:r>
          <w:rPr>
            <w:webHidden/>
          </w:rPr>
          <w:fldChar w:fldCharType="begin"/>
        </w:r>
        <w:r>
          <w:rPr>
            <w:webHidden/>
          </w:rPr>
          <w:instrText xml:space="preserve">PAGEREF _Toc230704356 \h</w:instrText>
        </w:r>
        <w:r>
          <w:rPr>
            <w:webHidden/>
          </w:rPr>
          <w:fldChar w:fldCharType="separate"/>
        </w:r>
        <w:r>
          <w:rPr>
            <w:rStyle w:val="Vnculodendice"/>
            <w:vanish w:val="false"/>
          </w:rPr>
          <w:tab/>
          <w:t>42</w:t>
        </w:r>
        <w:r>
          <w:rPr>
            <w:webHidden/>
          </w:rPr>
          <w:fldChar w:fldCharType="end"/>
        </w:r>
      </w:hyperlink>
      <w:r>
        <w:rPr>
          <w:rStyle w:val="Vnculodendice"/>
          <w:vanish w:val="false"/>
        </w:rPr>
        <w:fldChar w:fldCharType="end"/>
      </w:r>
    </w:p>
    <w:p>
      <w:pPr>
        <w:pStyle w:val="Normal"/>
        <w:spacing w:lineRule="auto" w:line="240"/>
        <w:ind w:hanging="0"/>
        <w:jc w:val="left"/>
        <w:rPr/>
      </w:pPr>
      <w:r>
        <w:rPr/>
      </w:r>
    </w:p>
    <w:p>
      <w:pPr>
        <w:pStyle w:val="Normal"/>
        <w:spacing w:lineRule="auto" w:line="240"/>
        <w:ind w:hanging="0"/>
        <w:jc w:val="left"/>
        <w:rPr>
          <w:rFonts w:eastAsia="" w:cs="" w:cstheme="minorBidi" w:eastAsiaTheme="minorEastAsia"/>
          <w:b/>
          <w:szCs w:val="22"/>
        </w:rPr>
      </w:pPr>
      <w:r>
        <w:rPr>
          <w:rFonts w:eastAsia="" w:cs="" w:cstheme="minorBidi" w:eastAsiaTheme="minorEastAsia"/>
          <w:b/>
          <w:szCs w:val="22"/>
        </w:rPr>
      </w:r>
      <w:r>
        <w:br w:type="page"/>
      </w:r>
    </w:p>
    <w:p>
      <w:pPr>
        <w:pStyle w:val="Heading1"/>
        <w:spacing w:before="0" w:after="0"/>
        <w:ind w:hanging="0" w:left="0"/>
        <w:jc w:val="left"/>
        <w:rPr>
          <w:rFonts w:cs="Arial"/>
          <w:szCs w:val="24"/>
        </w:rPr>
      </w:pPr>
      <w:bookmarkStart w:id="0" w:name="__RefHeading___Toc12815_1774815877"/>
      <w:bookmarkStart w:id="1" w:name="_Toc230704172"/>
      <w:bookmarkEnd w:id="0"/>
      <w:r>
        <w:rPr/>
        <w:t xml:space="preserve">1. </w:t>
        <w:tab/>
        <w:t>CONTEXTO</w:t>
      </w:r>
      <w:bookmarkEnd w:id="1"/>
    </w:p>
    <w:p>
      <w:pPr>
        <w:pStyle w:val="BodyTextIndent"/>
        <w:spacing w:before="0" w:after="0"/>
        <w:ind w:hanging="0" w:left="0"/>
        <w:rPr>
          <w:rFonts w:cs="Arial"/>
          <w:szCs w:val="24"/>
        </w:rPr>
      </w:pPr>
      <w:r>
        <w:rPr>
          <w:rFonts w:cs="Arial"/>
          <w:szCs w:val="24"/>
        </w:rPr>
      </w:r>
    </w:p>
    <w:p>
      <w:pPr>
        <w:pStyle w:val="Normal"/>
        <w:ind w:hanging="0"/>
        <w:rPr>
          <w:rFonts w:cs="Arial"/>
        </w:rPr>
      </w:pPr>
      <w:r>
        <w:rPr>
          <w:rFonts w:cs="Arial"/>
        </w:rPr>
        <w:tab/>
        <w:t>Conforme já apresentado anteriormente pela eTopocart no Plano de Ação Corretiva, em resposta ao Relatório Consolidado dos Achados de março de 2026, foram revisados diferentes pontos relacionados ao funcionamento e à modelagem geoestatística do OMI. Entre os aspectos analisados, estão as limitações do sistema, questões ligadas à estrutura cadastral e também às bases de dados utilizadas na construção do modelo.</w:t>
      </w:r>
    </w:p>
    <w:p>
      <w:pPr>
        <w:pStyle w:val="BodyText"/>
        <w:ind w:hanging="0"/>
        <w:rPr/>
      </w:pPr>
      <w:r>
        <w:rPr/>
        <w:tab/>
        <w:t>Os principais apontamentos feitos nos relatórios dizem respeito às diferenças encontradas entre os valores de avaliação informados pelos auditores e os valores calculados pelo OMI. Diante disso, este relatório busca analisar essas divergências, apresentando interpretações para os resultados observados, além de justificativas técnicas e possíveis ajustes necessários para as tipologias de apartamentos, terrenos e casas.</w:t>
      </w:r>
    </w:p>
    <w:p>
      <w:pPr>
        <w:pStyle w:val="BodyText"/>
        <w:ind w:hanging="0"/>
        <w:rPr/>
      </w:pPr>
      <w:r>
        <w:rPr/>
        <w:tab/>
        <w:t>Também é importante destacar que o OMI foi desenvolvido utilizando amostras provenientes do mercado imobiliário local, considerando imóveis padrão anunciados no mercado. Por esse motivo, comparações mais adequadas precisam ser feitas com dados de mesma natureza. Assim, da mesma forma que ocorreu na análise dos achados de fevereiro, não foram consideradas as amostras que não possuíam relação com o mercado imobiliário, bem como aquelas sem identificação ou endereço informado.</w:t>
      </w:r>
    </w:p>
    <w:p>
      <w:pPr>
        <w:pStyle w:val="BodyText"/>
        <w:ind w:hanging="0"/>
        <w:rPr/>
      </w:pPr>
      <w:r>
        <w:rPr/>
        <w:tab/>
        <w:t>Considerando essas premissas, fundamentais para garantir maior confiabilidade ao processo de validação e calibração do OMI, o próximo capítulo retoma informações já apresentadas anteriormente no Plano de Ação Corretiva, incluindo a atualização da data de consulta no Portal O.V.I. do Geo360, além de diagnósticos complementares, justificativas e melhorias implementadas ao longo das análises.</w:t>
      </w:r>
    </w:p>
    <w:p>
      <w:pPr>
        <w:pStyle w:val="Normal"/>
        <w:ind w:hanging="0"/>
        <w:rPr>
          <w:rFonts w:cs="Arial"/>
        </w:rPr>
      </w:pPr>
      <w:r>
        <w:rPr/>
      </w:r>
    </w:p>
    <w:p>
      <w:pPr>
        <w:pStyle w:val="Normal"/>
        <w:ind w:hanging="0"/>
        <w:rPr>
          <w:rFonts w:cs="Arial"/>
        </w:rPr>
      </w:pPr>
      <w:r>
        <w:rPr/>
      </w:r>
    </w:p>
    <w:p>
      <w:pPr>
        <w:pStyle w:val="Heading1"/>
        <w:numPr>
          <w:ilvl w:val="0"/>
          <w:numId w:val="2"/>
        </w:numPr>
        <w:tabs>
          <w:tab w:val="clear" w:pos="708"/>
          <w:tab w:val="left" w:pos="0" w:leader="none"/>
        </w:tabs>
        <w:spacing w:before="0" w:after="0"/>
        <w:textAlignment w:val="baseline"/>
        <w:rPr>
          <w:rFonts w:cs="Arial"/>
          <w:color w:val="000000"/>
          <w:szCs w:val="24"/>
        </w:rPr>
      </w:pPr>
      <w:bookmarkStart w:id="2" w:name="__RefHeading___Toc12817_1774815877"/>
      <w:bookmarkStart w:id="3" w:name="_Toc230704173"/>
      <w:bookmarkEnd w:id="2"/>
      <w:r>
        <w:rPr>
          <w:rFonts w:cs="Arial"/>
          <w:color w:val="000000"/>
          <w:szCs w:val="24"/>
        </w:rPr>
        <w:t>DIVERGÊNCIA ENTRE VALOR DO OMI E VALOR DE AVALIAÇÃO DO AUDITOR</w:t>
      </w:r>
      <w:bookmarkEnd w:id="3"/>
    </w:p>
    <w:p>
      <w:pPr>
        <w:pStyle w:val="Normal"/>
        <w:rPr/>
      </w:pPr>
      <w:r>
        <w:rPr/>
      </w:r>
    </w:p>
    <w:p>
      <w:pPr>
        <w:pStyle w:val="BodyText"/>
        <w:ind w:hanging="0"/>
        <w:rPr>
          <w:rFonts w:cs="Arial"/>
          <w:kern w:val="2"/>
        </w:rPr>
      </w:pPr>
      <w:r>
        <w:rPr>
          <w:rFonts w:cs="Arial"/>
          <w:kern w:val="2"/>
        </w:rPr>
        <w:tab/>
        <w:t>De acordo com as análises apresentadas pela Prefeitura Municipal de Teresina, por meio dos relatórios elaborados pelos auditores municipais, observa-se que o OMI apresenta resultados compatíveis com as referências adotadas em parte das amostras avaliadas. Entretanto, ainda existem diversos casos em que foram identificadas diferenças significativas, tanto acima quanto abaixo dos valores esperados.</w:t>
      </w:r>
    </w:p>
    <w:p>
      <w:pPr>
        <w:pStyle w:val="BodyText"/>
        <w:ind w:hanging="0"/>
        <w:rPr/>
      </w:pPr>
      <w:r>
        <w:rPr/>
        <w:tab/>
        <w:t>Os relatórios também indicam que, apesar dessas divergências, o sistema demonstra potencial como ferramenta de apoio às análises e como mecanismo de triagem inicial. Ainda assim, os resultados apontam que o OMI não substitui, neste momento, a avaliação técnica individual realizada pelo AFRM, especialmente em situações mais específicas.</w:t>
      </w:r>
    </w:p>
    <w:p>
      <w:pPr>
        <w:pStyle w:val="BodyText"/>
        <w:ind w:hanging="0"/>
        <w:rPr/>
      </w:pPr>
      <w:r>
        <w:rPr/>
        <w:tab/>
        <w:t>Além disso, os casos com maiores discrepâncias evidenciam a necessidade de continuidade nos ajustes do modelo, principalmente em relação aos pesos atribuídos, parâmetros utilizados, variáveis consideradas e critérios de tratamento aplicados às diferentes tipologias, com destaque para apartamentos, casas e terrenos que apresentam características particulares.</w:t>
      </w:r>
    </w:p>
    <w:p>
      <w:pPr>
        <w:pStyle w:val="BodyText"/>
        <w:ind w:firstLine="432"/>
        <w:rPr>
          <w:rFonts w:cs="Arial"/>
          <w:kern w:val="2"/>
        </w:rPr>
      </w:pPr>
      <w:r>
        <w:rPr>
          <w:rFonts w:cs="Arial"/>
          <w:kern w:val="2"/>
        </w:rPr>
        <w:t>Para esta etapa da análise, foram recebidos relatórios elaborados por 5 auditores municipais, contendo avaliações de imóveis das tipologias apartamentos/salas, casas e terrenos. Ao todo, o material encaminhado somava 1.027 amostras. Após a etapa de verificação e filtragem das informações, 3</w:t>
      </w:r>
      <w:r>
        <w:rPr>
          <w:rFonts w:cs="Arial"/>
          <w:kern w:val="2"/>
        </w:rPr>
        <w:t>69</w:t>
      </w:r>
      <w:r>
        <w:rPr>
          <w:rFonts w:cs="Arial"/>
          <w:kern w:val="2"/>
        </w:rPr>
        <w:t xml:space="preserve"> registros foram considerados adequados para utilização nas análises, sendo compostos por 18</w:t>
      </w:r>
      <w:r>
        <w:rPr>
          <w:rFonts w:cs="Arial"/>
          <w:kern w:val="2"/>
        </w:rPr>
        <w:t>4</w:t>
      </w:r>
      <w:r>
        <w:rPr>
          <w:rFonts w:cs="Arial"/>
          <w:kern w:val="2"/>
        </w:rPr>
        <w:t xml:space="preserve"> amostras de apartamentos, 112 de casas e 73 de terrenos.</w:t>
      </w:r>
    </w:p>
    <w:p>
      <w:pPr>
        <w:pStyle w:val="BodyText"/>
        <w:ind w:hanging="0"/>
        <w:rPr/>
      </w:pPr>
      <w:r>
        <w:rPr/>
        <w:tab/>
        <w:t>Além dos valores avaliados, os relatórios também apresentavam observações complementares, incluindo fontes consultadas, metodologias adotadas pelos auditores e demais critérios utilizados durante as avaliações. Essas informações serviram de base para a realização de análises estatísticas voltadas à identificação de regiões do município onde ocorreram diferenças mais relevantes entre os valores atribuídos pelos auditores e aqueles simulados pela modelagem do Valor do Metro Quadrado do Terreno (VM²t).</w:t>
      </w:r>
    </w:p>
    <w:p>
      <w:pPr>
        <w:pStyle w:val="BodyText"/>
        <w:ind w:hanging="0"/>
        <w:rPr/>
      </w:pPr>
      <w:r>
        <w:rPr/>
        <w:tab/>
        <w:t>Em um segundo momento, também foi disponibilizado um novo conjunto de dados formado por amostras coletadas em sites imobiliários e cadastradas no SAI – Sistema de Avaliação de Imóveis. Esse material contemplava diferentes categorias de imóveis e empreendimentos, totalizando 2.792 registros, distribuídos entre 334 amostras de terrenos, 98 de loteamentos e 2.360 relacionadas a condomínios. O objetivo desse conjunto adicional foi ampliar a base de comparação em relação aos valores atualmente praticados na Planta de Valores Genéricos.</w:t>
      </w:r>
    </w:p>
    <w:p>
      <w:pPr>
        <w:pStyle w:val="BodyText"/>
        <w:ind w:hanging="0"/>
        <w:rPr/>
      </w:pPr>
      <w:r>
        <w:rPr/>
        <w:tab/>
        <w:t xml:space="preserve">Após a organização e tratamento das informações recebidas — utilizando as inscrições imobiliárias e a identificação dos condomínios — foi realizada a espacialização das amostras avaliadas pelos auditores referentes ao mês de março de 2026, conforme apresentado na </w:t>
      </w:r>
      <w:r>
        <w:rPr/>
        <w:fldChar w:fldCharType="begin"/>
      </w:r>
      <w:r>
        <w:rPr/>
        <w:instrText xml:space="preserve"> REF Ref_Figura0_label_and_number \h </w:instrText>
      </w:r>
      <w:r>
        <w:rPr/>
        <w:fldChar w:fldCharType="separate"/>
      </w:r>
      <w:r>
        <w:rPr/>
        <w:t>Figura 1</w:t>
      </w:r>
      <w:r>
        <w:rPr/>
        <w:fldChar w:fldCharType="end"/>
      </w:r>
      <w:r>
        <w:rPr/>
        <w:t>.</w:t>
      </w:r>
    </w:p>
    <w:p>
      <w:pPr>
        <w:pStyle w:val="Normal"/>
        <w:ind w:firstLine="432"/>
        <w:rPr>
          <w:rFonts w:cs="Arial"/>
          <w:kern w:val="2"/>
        </w:rPr>
      </w:pPr>
      <w:r>
        <w:rPr/>
      </w:r>
    </w:p>
    <w:p>
      <w:pPr>
        <w:pStyle w:val="Normal"/>
        <w:rPr>
          <w:rFonts w:cs="Arial"/>
        </w:rPr>
      </w:pPr>
      <w:r>
        <w:rPr>
          <w:rFonts w:cs="Arial"/>
        </w:rPr>
      </w:r>
    </w:p>
    <w:p>
      <w:pPr>
        <w:pStyle w:val="Caption1"/>
        <w:keepNext w:val="true"/>
        <w:spacing w:before="120" w:after="0"/>
        <w:jc w:val="both"/>
        <w:rPr>
          <w:rFonts w:ascii="Arial" w:hAnsi="Arial" w:cs="Arial"/>
          <w:i w:val="false"/>
          <w:i w:val="false"/>
          <w:iCs w:val="false"/>
          <w:sz w:val="20"/>
          <w:szCs w:val="20"/>
        </w:rPr>
      </w:pPr>
      <w:r>
        <w:rPr>
          <w:rFonts w:cs="Arial" w:ascii="Arial" w:hAnsi="Arial"/>
          <w:i w:val="false"/>
          <w:iCs w:val="false"/>
          <w:sz w:val="20"/>
          <w:szCs w:val="20"/>
        </w:rPr>
      </w:r>
    </w:p>
    <w:p>
      <w:pPr>
        <w:pStyle w:val="Caption1"/>
        <w:keepNext w:val="true"/>
        <w:jc w:val="center"/>
        <w:rPr>
          <w:rFonts w:ascii="Arial" w:hAnsi="Arial" w:cs="Arial"/>
          <w:i w:val="false"/>
          <w:i w:val="false"/>
          <w:iCs w:val="false"/>
          <w:sz w:val="20"/>
          <w:szCs w:val="20"/>
        </w:rPr>
      </w:pPr>
      <w:bookmarkStart w:id="4" w:name="_Toc230704339"/>
      <w:bookmarkStart w:id="5" w:name="Ref_Figura0_label_and_number"/>
      <w:r>
        <w:rPr>
          <w:rFonts w:cs="Arial" w:ascii="Arial" w:hAnsi="Arial"/>
          <w:i w:val="false"/>
          <w:iCs w:val="false"/>
          <w:sz w:val="20"/>
          <w:szCs w:val="20"/>
        </w:rPr>
        <w:t xml:space="preserve">Figura </w:t>
      </w:r>
      <w:r>
        <w:rPr>
          <w:rFonts w:cs="Arial" w:ascii="Arial" w:hAnsi="Arial"/>
          <w:i w:val="false"/>
          <w:iCs w:val="false"/>
          <w:sz w:val="20"/>
          <w:szCs w:val="20"/>
        </w:rPr>
        <w:fldChar w:fldCharType="begin"/>
      </w:r>
      <w:r>
        <w:rPr>
          <w:sz w:val="20"/>
          <w:i w:val="false"/>
          <w:szCs w:val="20"/>
          <w:iCs w:val="false"/>
          <w:rFonts w:cs="Arial" w:ascii="Arial" w:hAnsi="Arial"/>
        </w:rPr>
        <w:instrText xml:space="preserve"> SEQ Figura \* ARABIC </w:instrText>
      </w:r>
      <w:r>
        <w:rPr>
          <w:sz w:val="20"/>
          <w:i w:val="false"/>
          <w:szCs w:val="20"/>
          <w:iCs w:val="false"/>
          <w:rFonts w:cs="Arial" w:ascii="Arial" w:hAnsi="Arial"/>
        </w:rPr>
        <w:fldChar w:fldCharType="separate"/>
      </w:r>
      <w:r>
        <w:rPr>
          <w:sz w:val="20"/>
          <w:i w:val="false"/>
          <w:szCs w:val="20"/>
          <w:iCs w:val="false"/>
          <w:rFonts w:cs="Arial" w:ascii="Arial" w:hAnsi="Arial"/>
        </w:rPr>
        <w:t>1</w:t>
      </w:r>
      <w:r>
        <w:rPr>
          <w:sz w:val="20"/>
          <w:i w:val="false"/>
          <w:szCs w:val="20"/>
          <w:iCs w:val="false"/>
          <w:rFonts w:cs="Arial" w:ascii="Arial" w:hAnsi="Arial"/>
        </w:rPr>
        <w:fldChar w:fldCharType="end"/>
      </w:r>
      <w:bookmarkEnd w:id="5"/>
      <w:r>
        <w:rPr>
          <w:rFonts w:cs="Arial" w:ascii="Arial" w:hAnsi="Arial"/>
          <w:i w:val="false"/>
          <w:iCs w:val="false"/>
          <w:sz w:val="20"/>
          <w:szCs w:val="20"/>
        </w:rPr>
        <w:t xml:space="preserve"> </w:t>
      </w:r>
      <w:r>
        <w:rPr>
          <w:rFonts w:cs="Arial" w:ascii="Arial" w:hAnsi="Arial"/>
          <w:i w:val="false"/>
          <w:iCs w:val="false"/>
          <w:sz w:val="20"/>
          <w:szCs w:val="20"/>
        </w:rPr>
        <w:t>- Espacialização das tipologias com avaliação.</w:t>
      </w:r>
      <w:bookmarkEnd w:id="4"/>
    </w:p>
    <w:p>
      <w:pPr>
        <w:pStyle w:val="Normal"/>
        <w:ind w:hanging="0"/>
        <w:jc w:val="center"/>
        <w:rPr/>
      </w:pPr>
      <w:r>
        <w:rPr/>
        <w:drawing>
          <wp:inline distT="0" distB="0" distL="0" distR="0">
            <wp:extent cx="5760085" cy="4072890"/>
            <wp:effectExtent l="0" t="0" r="0" b="0"/>
            <wp:docPr id="1"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descr=""/>
                    <pic:cNvPicPr>
                      <a:picLocks noChangeAspect="1" noChangeArrowheads="1"/>
                    </pic:cNvPicPr>
                  </pic:nvPicPr>
                  <pic:blipFill>
                    <a:blip r:embed="rId2"/>
                    <a:stretch>
                      <a:fillRect/>
                    </a:stretch>
                  </pic:blipFill>
                  <pic:spPr bwMode="auto">
                    <a:xfrm>
                      <a:off x="0" y="0"/>
                      <a:ext cx="5760085" cy="4072890"/>
                    </a:xfrm>
                    <a:prstGeom prst="rect">
                      <a:avLst/>
                    </a:prstGeom>
                  </pic:spPr>
                </pic:pic>
              </a:graphicData>
            </a:graphic>
          </wp:inline>
        </w:drawing>
      </w:r>
    </w:p>
    <w:p>
      <w:pPr>
        <w:pStyle w:val="Normal"/>
        <w:rPr>
          <w:rFonts w:cs="Arial"/>
        </w:rPr>
      </w:pPr>
      <w:r>
        <w:rPr>
          <w:rFonts w:cs="Arial"/>
        </w:rPr>
      </w:r>
    </w:p>
    <w:p>
      <w:pPr>
        <w:pStyle w:val="Normal"/>
        <w:ind w:hanging="0"/>
        <w:rPr>
          <w:rFonts w:cs="Arial"/>
        </w:rPr>
      </w:pPr>
      <w:r>
        <w:rPr>
          <w:rFonts w:cs="Arial"/>
        </w:rPr>
        <w:tab/>
        <w:t>A proposta desta etapa consiste em comparar os valores informados pelos auditores com aqueles gerados pelo OMI, buscando analisar a correlação entre os resultados, os resíduos obtidos e a existência de padrões espaciais nas divergências identificadas. Com isso, torna-se possível verificar se os maiores desvios se concentram em regiões específicas de Teresina, permitindo direcionar ajustes pontuais onde forem necessários.</w:t>
      </w:r>
    </w:p>
    <w:p>
      <w:pPr>
        <w:pStyle w:val="BodyText"/>
        <w:ind w:hanging="0"/>
        <w:rPr/>
      </w:pPr>
      <w:r>
        <w:rPr/>
        <w:tab/>
        <w:t>Antes da análise espacial, foi necessário atualizar a base de comparação entre as avaliações. As primeiras consultas realizadas pelos auditores no início de março de 2026 ainda não contemplavam ajustes posteriormente incorporados ao OMI, como fração de terreno, fator de andar e idade das edificações para apartamentos, entre outros parâmetros.</w:t>
      </w:r>
    </w:p>
    <w:p>
      <w:pPr>
        <w:pStyle w:val="BodyText"/>
        <w:ind w:hanging="0"/>
        <w:rPr/>
      </w:pPr>
      <w:r>
        <w:rPr/>
        <w:tab/>
        <w:t>Por esse motivo, foi realizada uma nova consulta ao sistema em 04/05/2026, utilizando as mesmas inscrições imobiliárias avaliadas anteriormente pelos auditores, permitindo um comparativo mais adequado entre os valores analisados.</w:t>
      </w:r>
    </w:p>
    <w:p>
      <w:pPr>
        <w:pStyle w:val="Normal"/>
        <w:ind w:firstLine="1134"/>
        <w:rPr>
          <w:rFonts w:cs="Arial"/>
        </w:rPr>
      </w:pPr>
      <w:r>
        <w:rPr/>
      </w:r>
    </w:p>
    <w:p>
      <w:pPr>
        <w:pStyle w:val="Normal"/>
        <w:ind w:firstLine="1134"/>
        <w:rPr>
          <w:rFonts w:cs="Arial"/>
        </w:rPr>
      </w:pPr>
      <w:r>
        <w:rPr>
          <w:rFonts w:cs="Arial"/>
        </w:rPr>
      </w:r>
    </w:p>
    <w:p>
      <w:pPr>
        <w:pStyle w:val="Heading1"/>
        <w:spacing w:before="0" w:after="0"/>
        <w:ind w:hanging="0" w:left="0"/>
        <w:jc w:val="left"/>
        <w:rPr>
          <w:rFonts w:cs="Arial"/>
          <w:szCs w:val="24"/>
        </w:rPr>
      </w:pPr>
      <w:bookmarkStart w:id="6" w:name="__RefHeading___Toc12819_1774815877"/>
      <w:bookmarkStart w:id="7" w:name="_Toc230704174"/>
      <w:bookmarkEnd w:id="6"/>
      <w:r>
        <w:rPr>
          <w:caps w:val="false"/>
          <w:smallCaps w:val="false"/>
        </w:rPr>
        <w:t>3.</w:t>
        <w:tab/>
        <w:t>ANÁLISE DAS AMOSTRAS DE TERRENOS</w:t>
      </w:r>
      <w:bookmarkEnd w:id="7"/>
    </w:p>
    <w:p>
      <w:pPr>
        <w:pStyle w:val="Normal"/>
        <w:ind w:firstLine="708"/>
        <w:rPr>
          <w:rFonts w:cs="Arial"/>
        </w:rPr>
      </w:pPr>
      <w:r>
        <w:rPr>
          <w:rFonts w:cs="Arial"/>
        </w:rPr>
      </w:r>
    </w:p>
    <w:p>
      <w:pPr>
        <w:pStyle w:val="Normal"/>
        <w:ind w:firstLine="708"/>
        <w:rPr>
          <w:rFonts w:cs="Arial"/>
        </w:rPr>
      </w:pPr>
      <w:r>
        <w:rPr>
          <w:rFonts w:cs="Arial"/>
        </w:rPr>
        <w:t xml:space="preserve">Para a tipologia de terrenos, foram analisadas 73 amostras comparativas entre os valores de avaliação apresentados pelos auditores e os valores estimados pelo OMI na data de 04/05/2026 </w:t>
      </w:r>
      <w:r>
        <w:rPr>
          <w:rFonts w:cs="Arial"/>
        </w:rPr>
        <w:t>(</w:t>
      </w:r>
      <w:r>
        <w:rPr>
          <w:rFonts w:cs="Arial"/>
        </w:rPr>
        <w:fldChar w:fldCharType="begin"/>
      </w:r>
      <w:r>
        <w:rPr>
          <w:rFonts w:cs="Arial"/>
        </w:rPr>
        <w:instrText xml:space="preserve"> REF Ref_Tabela0_label_and_number \h </w:instrText>
      </w:r>
      <w:r>
        <w:rPr>
          <w:rFonts w:cs="Arial"/>
        </w:rPr>
        <w:fldChar w:fldCharType="separate"/>
      </w:r>
      <w:r>
        <w:rPr>
          <w:rFonts w:cs="Arial"/>
        </w:rPr>
        <w:t>Tabela 1</w:t>
      </w:r>
      <w:r>
        <w:rPr>
          <w:rFonts w:cs="Arial"/>
        </w:rPr>
        <w:fldChar w:fldCharType="end"/>
      </w:r>
      <w:r>
        <w:rPr>
          <w:rFonts w:cs="Arial"/>
        </w:rPr>
        <w:t>)</w:t>
      </w:r>
      <w:r>
        <w:rPr>
          <w:rFonts w:cs="Arial"/>
        </w:rPr>
        <w:t>. A partir do pareamento entre os dados, calculou-se a diferença entre o valor auditado e o valor obtido pelo OMI para cada imóvel, originando os resíduos, positivos ou negativos, posteriormente padronizados em unidade adimensional (z-score), utilizando-se a média e o desvio-padrão da série de dados. Complementarmente, foi calculada a variação percentual entre os valores comparados, apresentada na coluna “resíduos_perc”.</w:t>
      </w:r>
    </w:p>
    <w:p>
      <w:pPr>
        <w:pStyle w:val="Normal"/>
        <w:ind w:firstLine="708"/>
        <w:rPr>
          <w:rFonts w:cs="Arial"/>
        </w:rPr>
      </w:pPr>
      <w:r>
        <w:rPr>
          <w:rFonts w:cs="Arial"/>
        </w:rPr>
        <w:t>Sob o ponto de vista estatístico, observa-se que o conjunto amostral apresenta comportamento predominantemente homogêneo, com a maior parte dos z-scores concentrada próxima de zero. Tal característica demonstra relativa consistência entre os valores auditados e aqueles estimados pelo OMI, indicando aderência satisfatória do modelo para a maior parte das amostras avaliadas. A distribuição dos resíduos, embora contenha diferenças positivas e negativas, mantém-se majoritariamente dentro de um intervalo estatisticamente esperado, evidenciando estabilidade no comportamento geral da série.</w:t>
      </w:r>
    </w:p>
    <w:p>
      <w:pPr>
        <w:pStyle w:val="Normal"/>
        <w:ind w:firstLine="708"/>
        <w:rPr>
          <w:rFonts w:cs="Arial"/>
        </w:rPr>
      </w:pPr>
      <w:r>
        <w:rPr>
          <w:rFonts w:cs="Arial"/>
        </w:rPr>
        <w:t>Em relação às variações percentuais, verifica-se que a maior parte das amostras apresenta diferenças moderadas entre os valores comparados, reforçando a proximidade entre os resultados produzidos pelo OMI e os valores de referência utilizados pelos auditores. Ainda que existam ocorrências pontuais de maior dispersão, o comportamento predominante da amostra demonstra uniformidade e coerência estatística, sugerindo que o modelo apresenta capacidade preditiva consistente para o conjunto analisado.</w:t>
      </w:r>
    </w:p>
    <w:p>
      <w:pPr>
        <w:pStyle w:val="Caption1"/>
        <w:keepNext w:val="true"/>
        <w:spacing w:before="120" w:after="0"/>
        <w:jc w:val="center"/>
        <w:rPr>
          <w:rFonts w:ascii="Arial" w:hAnsi="Arial" w:cs="Arial"/>
          <w:i w:val="false"/>
          <w:i w:val="false"/>
          <w:iCs w:val="false"/>
          <w:sz w:val="20"/>
          <w:szCs w:val="20"/>
        </w:rPr>
      </w:pPr>
      <w:bookmarkStart w:id="8" w:name="_Toc230704352"/>
      <w:bookmarkStart w:id="9" w:name="Ref_Tabela0_label_and_number"/>
      <w:r>
        <w:rPr>
          <w:rFonts w:cs="Arial" w:ascii="Arial" w:hAnsi="Arial"/>
          <w:i w:val="false"/>
          <w:iCs w:val="false"/>
          <w:sz w:val="20"/>
          <w:szCs w:val="20"/>
        </w:rPr>
        <w:t xml:space="preserve">Tabela </w:t>
      </w:r>
      <w:r>
        <w:rPr>
          <w:rFonts w:cs="Arial" w:ascii="Arial" w:hAnsi="Arial"/>
          <w:i w:val="false"/>
          <w:iCs w:val="false"/>
          <w:sz w:val="20"/>
          <w:szCs w:val="20"/>
        </w:rPr>
        <w:fldChar w:fldCharType="begin"/>
      </w:r>
      <w:r>
        <w:rPr>
          <w:sz w:val="20"/>
          <w:i w:val="false"/>
          <w:szCs w:val="20"/>
          <w:iCs w:val="false"/>
          <w:rFonts w:cs="Arial" w:ascii="Arial" w:hAnsi="Arial"/>
        </w:rPr>
        <w:instrText xml:space="preserve"> SEQ Tabela \* ARABIC </w:instrText>
      </w:r>
      <w:r>
        <w:rPr>
          <w:sz w:val="20"/>
          <w:i w:val="false"/>
          <w:szCs w:val="20"/>
          <w:iCs w:val="false"/>
          <w:rFonts w:cs="Arial" w:ascii="Arial" w:hAnsi="Arial"/>
        </w:rPr>
        <w:fldChar w:fldCharType="separate"/>
      </w:r>
      <w:r>
        <w:rPr>
          <w:sz w:val="20"/>
          <w:i w:val="false"/>
          <w:szCs w:val="20"/>
          <w:iCs w:val="false"/>
          <w:rFonts w:cs="Arial" w:ascii="Arial" w:hAnsi="Arial"/>
        </w:rPr>
        <w:t>1</w:t>
      </w:r>
      <w:r>
        <w:rPr>
          <w:sz w:val="20"/>
          <w:i w:val="false"/>
          <w:szCs w:val="20"/>
          <w:iCs w:val="false"/>
          <w:rFonts w:cs="Arial" w:ascii="Arial" w:hAnsi="Arial"/>
        </w:rPr>
        <w:fldChar w:fldCharType="end"/>
      </w:r>
      <w:bookmarkEnd w:id="9"/>
      <w:r>
        <w:rPr>
          <w:rFonts w:cs="Arial" w:ascii="Arial" w:hAnsi="Arial"/>
          <w:i w:val="false"/>
          <w:iCs w:val="false"/>
          <w:sz w:val="20"/>
          <w:szCs w:val="20"/>
        </w:rPr>
        <w:t xml:space="preserve"> </w:t>
      </w:r>
      <w:r>
        <w:rPr>
          <w:rFonts w:cs="Arial" w:ascii="Arial" w:hAnsi="Arial"/>
          <w:i w:val="false"/>
          <w:iCs w:val="false"/>
          <w:sz w:val="20"/>
          <w:szCs w:val="20"/>
        </w:rPr>
        <w:t>– Tabela comparativa entre Valor de avaliação x OMI para terrenos.</w:t>
      </w:r>
      <w:bookmarkEnd w:id="8"/>
    </w:p>
    <w:p>
      <w:pPr>
        <w:pStyle w:val="Caption1"/>
        <w:keepNext w:val="true"/>
        <w:spacing w:before="120" w:after="0"/>
        <w:rPr>
          <w:rFonts w:ascii="Arial" w:hAnsi="Arial" w:cs="Arial"/>
          <w:i w:val="false"/>
          <w:i w:val="false"/>
          <w:iCs w:val="false"/>
          <w:sz w:val="20"/>
          <w:szCs w:val="20"/>
        </w:rPr>
      </w:pPr>
      <w:r>
        <w:rPr>
          <w:rFonts w:cs="Arial" w:ascii="Arial" w:hAnsi="Arial"/>
          <w:i w:val="false"/>
          <w:iCs w:val="false"/>
          <w:sz w:val="20"/>
          <w:szCs w:val="20"/>
        </w:rPr>
      </w:r>
    </w:p>
    <w:tbl>
      <w:tblPr>
        <w:tblW w:w="10280" w:type="dxa"/>
        <w:jc w:val="left"/>
        <w:tblInd w:w="-826" w:type="dxa"/>
        <w:tblLayout w:type="fixed"/>
        <w:tblCellMar>
          <w:top w:w="0" w:type="dxa"/>
          <w:left w:w="70" w:type="dxa"/>
          <w:bottom w:w="0" w:type="dxa"/>
          <w:right w:w="70" w:type="dxa"/>
        </w:tblCellMar>
        <w:tblLook w:firstRow="1" w:noVBand="1" w:lastRow="0" w:firstColumn="1" w:lastColumn="0" w:noHBand="0" w:val="04a0"/>
      </w:tblPr>
      <w:tblGrid>
        <w:gridCol w:w="1198"/>
        <w:gridCol w:w="2320"/>
        <w:gridCol w:w="1782"/>
        <w:gridCol w:w="1699"/>
        <w:gridCol w:w="1720"/>
        <w:gridCol w:w="1560"/>
      </w:tblGrid>
      <w:tr>
        <w:trPr>
          <w:trHeight w:val="672" w:hRule="atLeast"/>
        </w:trPr>
        <w:tc>
          <w:tcPr>
            <w:tcW w:w="1198" w:type="dxa"/>
            <w:tcBorders>
              <w:top w:val="single" w:sz="12" w:space="0" w:color="000000"/>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b/>
                <w:bCs/>
                <w:color w:val="000000"/>
                <w:sz w:val="22"/>
                <w:szCs w:val="22"/>
              </w:rPr>
            </w:pPr>
            <w:r>
              <w:rPr>
                <w:rFonts w:ascii="Aptos Narrow" w:hAnsi="Aptos Narrow"/>
                <w:b/>
                <w:bCs/>
                <w:color w:val="000000"/>
                <w:sz w:val="22"/>
                <w:szCs w:val="22"/>
              </w:rPr>
              <w:t>IMO</w:t>
            </w:r>
          </w:p>
        </w:tc>
        <w:tc>
          <w:tcPr>
            <w:tcW w:w="2320" w:type="dxa"/>
            <w:tcBorders>
              <w:top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b/>
                <w:bCs/>
                <w:color w:val="000000"/>
                <w:sz w:val="22"/>
                <w:szCs w:val="22"/>
              </w:rPr>
            </w:pPr>
            <w:r>
              <w:rPr>
                <w:rFonts w:ascii="Aptos Narrow" w:hAnsi="Aptos Narrow"/>
                <w:b/>
                <w:bCs/>
                <w:color w:val="000000"/>
                <w:sz w:val="22"/>
                <w:szCs w:val="22"/>
              </w:rPr>
              <w:t>Valor de avaliação</w:t>
            </w:r>
          </w:p>
          <w:p>
            <w:pPr>
              <w:pStyle w:val="Normal"/>
              <w:suppressAutoHyphens w:val="false"/>
              <w:spacing w:lineRule="auto" w:line="240"/>
              <w:ind w:hanging="0"/>
              <w:jc w:val="center"/>
              <w:rPr>
                <w:rFonts w:ascii="Aptos Narrow" w:hAnsi="Aptos Narrow"/>
                <w:b/>
                <w:bCs/>
                <w:color w:val="000000"/>
                <w:sz w:val="22"/>
                <w:szCs w:val="22"/>
              </w:rPr>
            </w:pPr>
            <w:r>
              <w:rPr>
                <w:rFonts w:ascii="Aptos Narrow" w:hAnsi="Aptos Narrow"/>
                <w:b/>
                <w:bCs/>
                <w:color w:val="000000"/>
                <w:sz w:val="22"/>
                <w:szCs w:val="22"/>
              </w:rPr>
              <w:t>Auditor (Va)</w:t>
            </w:r>
          </w:p>
        </w:tc>
        <w:tc>
          <w:tcPr>
            <w:tcW w:w="1782" w:type="dxa"/>
            <w:tcBorders>
              <w:top w:val="single" w:sz="12" w:space="0" w:color="000000"/>
              <w:bottom w:val="single" w:sz="12" w:space="0" w:color="000000"/>
            </w:tcBorders>
            <w:vAlign w:val="center"/>
          </w:tcPr>
          <w:p>
            <w:pPr>
              <w:pStyle w:val="Normal"/>
              <w:suppressAutoHyphens w:val="false"/>
              <w:spacing w:lineRule="auto" w:line="240"/>
              <w:ind w:hanging="0"/>
              <w:jc w:val="center"/>
              <w:rPr>
                <w:rFonts w:ascii="Aptos Narrow" w:hAnsi="Aptos Narrow"/>
                <w:b/>
                <w:bCs/>
                <w:color w:val="000000"/>
                <w:sz w:val="22"/>
                <w:szCs w:val="22"/>
              </w:rPr>
            </w:pPr>
            <w:r>
              <w:rPr>
                <w:rFonts w:ascii="Aptos Narrow" w:hAnsi="Aptos Narrow"/>
                <w:b/>
                <w:bCs/>
                <w:color w:val="000000"/>
                <w:sz w:val="22"/>
                <w:szCs w:val="22"/>
              </w:rPr>
              <w:t>OMI (04/05/26)</w:t>
            </w:r>
          </w:p>
        </w:tc>
        <w:tc>
          <w:tcPr>
            <w:tcW w:w="1699" w:type="dxa"/>
            <w:tcBorders>
              <w:top w:val="single" w:sz="12" w:space="0" w:color="000000"/>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b/>
                <w:bCs/>
                <w:color w:val="000000"/>
                <w:sz w:val="22"/>
                <w:szCs w:val="22"/>
              </w:rPr>
            </w:pPr>
            <w:r>
              <w:rPr>
                <w:rFonts w:ascii="Aptos Narrow" w:hAnsi="Aptos Narrow"/>
                <w:b/>
                <w:bCs/>
                <w:color w:val="000000"/>
                <w:sz w:val="22"/>
                <w:szCs w:val="22"/>
              </w:rPr>
              <w:t>resíduos</w:t>
            </w:r>
          </w:p>
        </w:tc>
        <w:tc>
          <w:tcPr>
            <w:tcW w:w="1720" w:type="dxa"/>
            <w:tcBorders>
              <w:top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b/>
                <w:bCs/>
                <w:color w:val="000000"/>
                <w:sz w:val="22"/>
                <w:szCs w:val="22"/>
              </w:rPr>
            </w:pPr>
            <w:r>
              <w:rPr>
                <w:rFonts w:ascii="Aptos Narrow" w:hAnsi="Aptos Narrow"/>
                <w:b/>
                <w:bCs/>
                <w:color w:val="000000"/>
                <w:sz w:val="22"/>
                <w:szCs w:val="22"/>
              </w:rPr>
              <w:t>z_score</w:t>
            </w:r>
          </w:p>
        </w:tc>
        <w:tc>
          <w:tcPr>
            <w:tcW w:w="1560" w:type="dxa"/>
            <w:tcBorders>
              <w:top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b/>
                <w:bCs/>
                <w:color w:val="000000"/>
                <w:sz w:val="22"/>
                <w:szCs w:val="22"/>
              </w:rPr>
            </w:pPr>
            <w:r>
              <w:rPr>
                <w:rFonts w:ascii="Aptos Narrow" w:hAnsi="Aptos Narrow"/>
                <w:b/>
                <w:bCs/>
                <w:color w:val="000000"/>
                <w:sz w:val="22"/>
                <w:szCs w:val="22"/>
              </w:rPr>
              <w:t>residuos_perc</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227.748-4</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9535000,00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8417908,25</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1117091,75</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3,517747174</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-11,71569743</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383.060-8</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70462,86</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82546,00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-12083,14</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-0,073219429</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17,14823951</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385.230-0</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69260,00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740,00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-0,032439681</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-1,057142857</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384.578-8</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72856,00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7144,00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-0,012073881</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-8,93</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362.503-6</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245400,00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267690,72</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-22290,72</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-0,105681255</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9,083422983</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348.287-1</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450000,00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463017,00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-13017,00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-0,076189261</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2,892666667</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124.229-6</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1000000,00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969622,50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30377,50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0,061812568</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-3,03775</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159.569-5</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62560,00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48512,00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14048,00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0,009882004</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-22,45524297</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159.571-7</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62500,00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48512,00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13988,00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0,009691194</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-22,3808</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383.598-7</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270500,00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295360,94</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-24860,94</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-0,113854988</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9,190735675</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362.924-4</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277316,16</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-27316,16</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-0,121663002</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10,926464</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362.283-5</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245400,00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251993,28</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-6593,28</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-0,055760748</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2,686748166</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432.631-8</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168500,00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108768,00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59732,00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0,155164829</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-35,44925816</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355.281-1</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40506,67</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41990,00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-1483,33</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-0,039510245</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3,66194012</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355.271-3</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41990,00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-990,00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-0,037941373</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2,414634146</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355.304-3</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42078,95</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43138,00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-1059,05</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-0,038160963</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2,516816603</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355.971-8</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66103,84</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73928,76</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-7824,92</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-0,059677571</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11,83731535</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425.274-8</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134817,21</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95182,79</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0,267904321</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-41,38382174</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379.633-7</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35829,20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14170,80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0,010272529</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-28,3416</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385.092-7</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77404,98</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55042,00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22362,98</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0,036325043</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-28,89088015</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151.164-5</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3913600,00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2652259,45</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1261340,55</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3,976482688</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-32,22967472</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335.453-9</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1200000,00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1241727,98</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-41727,98</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-0,16749502</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3,477331667</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379.710-4</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51416,42</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-1416,42</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-0,03929746</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2,83284</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379.630-2</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32572,00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17428,00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0,020630974</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-34,856</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379.634-5</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32574,00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17426,00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0,020624614</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-34,852</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379.708-2</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32236,00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17764,00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0,021699511</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-35,528</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347.393-7</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1250000,00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495244,26</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754755,74</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2,365457549</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-60,3804592</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335.670-1</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1250000,00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1285046,79</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-35046,79</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-0,146247709</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2,8037432</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367.662-5</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533000,00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755418,22</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-222418,22</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-0,742120459</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41,72949719</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392.781-4</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155078,40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181288,74</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-26210,34</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-0,118146308</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16,90134796</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3356809</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933390,00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1244102,22</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-310712,22</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-1,022910272</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33,28857391</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163.513-1</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371217,00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-61217,00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-0,229473391</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19,74741935</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382.925-1</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172179,51</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200595,91</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-28416,40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-0,12516195</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16,50393824</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382.768-2</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191292,56</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245239,29</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-53946,73</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-0,206352706</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28,20116475</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361.423-9</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210870,00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255657,60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-44787,60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-0,177225128</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21,23943662</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167.263-1</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3000000,00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2021481,00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978519,00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3,077062457</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-32,6173</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029.305-9</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190671,43</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285957,00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-95285,57</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-0,33781719</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49,97370083</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006.389-4</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2952961,30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4217521,26</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-1264559,96</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-4,056306966</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42,82345183</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356.089-9</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63502,31</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72981,24</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-9478,93</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-0,064937602</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14,92690581</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356.118-6</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54487,76</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63108,68</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-8620,92</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-0,062208985</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15,8217552</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356.324-3</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55568,63</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67366,56</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-11797,93</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-0,072312413</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21,23127743</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390.795-3</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52512,00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57201,60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-4689,60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-0,049706725</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8,930530165</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298.104-1</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85706,79</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117170,81</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-31464,02</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-0,134853896</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36,71123373</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057.882-7</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190350,00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170553,00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19797,00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0,028164793</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-10,40031521</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254.429-6</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100714,00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49286,00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0,121944787</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-32,85733333</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357.287-1</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96546,86</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96655,68</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-108,82</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-0,035139072</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0,112712107</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384.038-7</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76000,00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38623,90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37376,10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0,084069296</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-49,17907895</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383.577-4</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75000,00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34814,64</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40185,36</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0,093003217</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-53,58048</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383.657-6</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35943,25</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44056,75</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0,10531489</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-55,0709375</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383.724-6</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70462,86</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82102,00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-11639,14</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-0,071807434</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16,51812033</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379.691-4</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35404,86</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46742,20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-11337,34</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-0,070847659</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32,02198794</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043.191-5</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273170,73</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298617,25</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-25446,52</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-0,115717231</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9,315243987</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348.124-7</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500000,00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466206,00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33794,00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0,072677614</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-6,7588</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179.408-6</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42502,50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83531,05</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-41028,55</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-0,165270715</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96,53208635</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362.286-0</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257141,28</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-7141,28</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-0,05750348</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2,856512</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347.583-2</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435100,00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517455,15</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-82355,15</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-0,296696273</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18,92786716</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266.459-3</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97700,00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94532,13</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3167,87</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-0,024718645</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-3,242446264</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187.130-7</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146600,00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174905,02</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-28305,02</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-0,124807743</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19,30765348</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319.737-9</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59376,67</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-29376,67</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-0,128215771</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97,92223333</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347.290-6</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415000,00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519808,25</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-104808,25</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-0,368100918</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25,255</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355.278-1</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43104,00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-2104,00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-0,04148408</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5,131707317</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355.291-8</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45000,00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41990,00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3010,00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-0,025220698</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-6,688888889</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383.692-4</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75000,00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33971,00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41029,00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0,095686135</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-54,70533333</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416.731-7</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62500,00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46088,00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16412,00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0,017399923</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-26,2592</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355.986-6</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39384,00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44362,80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-4978,80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-0,050626429</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12,6416819</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362.256-8</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216700,00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246428,16</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-29728,16</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-0,129333568</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13,71857868</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3559840</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39500,00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44362,80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-4862,80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-0,05025753</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12,31088608</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367.627-7</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343300,00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507444,90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-164144,90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-0,556801473</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47,81383629</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403.559-3</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61437,14</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27554,00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33883,14</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0,072961095</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-55,15090709</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379.655-8</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32558,00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32558,00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-0,034793006</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379.654-0</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32558,00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35813,80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-3255,80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-0,045146999</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063.260-1</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1364328,04</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2317275,60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-952947,56</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-3,065326975</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69,84739242</w:t>
            </w:r>
          </w:p>
        </w:tc>
      </w:tr>
      <w:tr>
        <w:trPr>
          <w:trHeight w:val="312" w:hRule="atLeast"/>
        </w:trPr>
        <w:tc>
          <w:tcPr>
            <w:tcW w:w="1198"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437.100-3</w:t>
            </w:r>
          </w:p>
        </w:tc>
        <w:tc>
          <w:tcPr>
            <w:tcW w:w="23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170000,00</w:t>
            </w:r>
          </w:p>
        </w:tc>
        <w:tc>
          <w:tcPr>
            <w:tcW w:w="1782"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242519,40</w:t>
            </w:r>
          </w:p>
        </w:tc>
        <w:tc>
          <w:tcPr>
            <w:tcW w:w="169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-72519,40</w:t>
            </w:r>
          </w:p>
        </w:tc>
        <w:tc>
          <w:tcPr>
            <w:tcW w:w="17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-0,265416929</w:t>
            </w:r>
          </w:p>
        </w:tc>
        <w:tc>
          <w:tcPr>
            <w:tcW w:w="15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42,65847059</w:t>
            </w:r>
          </w:p>
        </w:tc>
      </w:tr>
    </w:tbl>
    <w:p>
      <w:pPr>
        <w:pStyle w:val="Normal"/>
        <w:rPr>
          <w:rFonts w:cs="Arial"/>
        </w:rPr>
      </w:pPr>
      <w:r>
        <w:rPr>
          <w:rFonts w:cs="Arial"/>
        </w:rPr>
      </w:r>
    </w:p>
    <w:p>
      <w:pPr>
        <w:pStyle w:val="BodyText"/>
        <w:ind w:firstLine="1134"/>
        <w:rPr>
          <w:b w:val="false"/>
          <w:bCs w:val="false"/>
        </w:rPr>
      </w:pPr>
      <w:r>
        <w:rPr>
          <w:rFonts w:cs="Arial"/>
          <w:b w:val="false"/>
          <w:bCs w:val="false"/>
        </w:rPr>
        <w:t xml:space="preserve">A </w:t>
      </w:r>
      <w:r>
        <w:rPr>
          <w:rFonts w:cs="Arial"/>
          <w:b w:val="false"/>
          <w:bCs w:val="false"/>
        </w:rPr>
        <w:fldChar w:fldCharType="begin"/>
      </w:r>
      <w:r>
        <w:rPr>
          <w:b w:val="false"/>
          <w:bCs w:val="false"/>
          <w:rFonts w:cs="Arial"/>
        </w:rPr>
        <w:instrText xml:space="preserve"> REF Ref_Figura1_label_and_number \h </w:instrText>
      </w:r>
      <w:r>
        <w:rPr>
          <w:b w:val="false"/>
          <w:bCs w:val="false"/>
          <w:rFonts w:cs="Arial"/>
        </w:rPr>
        <w:fldChar w:fldCharType="separate"/>
      </w:r>
      <w:r>
        <w:rPr>
          <w:b w:val="false"/>
          <w:bCs w:val="false"/>
          <w:rFonts w:cs="Arial"/>
        </w:rPr>
        <w:t>Figura 2</w:t>
      </w:r>
      <w:r>
        <w:rPr>
          <w:b w:val="false"/>
          <w:bCs w:val="false"/>
          <w:rFonts w:cs="Arial"/>
        </w:rPr>
        <w:fldChar w:fldCharType="end"/>
      </w:r>
      <w:r>
        <w:rPr>
          <w:rFonts w:cs="Arial"/>
          <w:b w:val="false"/>
          <w:bCs w:val="false"/>
        </w:rPr>
        <w:t xml:space="preserve"> consiste em um gráfico de dispersão contendo os pares de valores referentes às avaliações realizadas pelos auditores e aos valores estimados pelo OMI para os mesmos imóveis, acrescido da reta de regressão linear. Esse tipo de representação possibilita avaliar a correlação entre as variáveis, verificar a aderência do modelo e observar o comportamento geral do conjunto amostral. A interpretação do gráfico demonstra forte relação linear positiva entre os valores comparados, evidenciada pelo coeficiente de determinação elevado (R² = 0,9428), indicando que aproximadamente 94% da variação observada nos valores do OMI pode ser explicada pelas avaliações dos auditores.</w:t>
      </w:r>
    </w:p>
    <w:p>
      <w:pPr>
        <w:pStyle w:val="BodyText"/>
        <w:rPr/>
      </w:pPr>
      <w:r>
        <w:rPr/>
        <w:t>Observa-se ainda que a maior parte dos pontos se encontra distribuída próxima à reta de regressão, revelando elevado grau de homogeneidade do conjunto de dados e comportamento estatisticamente consistente entre as variáveis analisadas. Mesmo nos casos em que há maior afastamento da reta, não se verifica comprometimento da tendência geral da série, permanecendo preservada a coerência do modelo em relação ao padrão predominante das avaliações.</w:t>
      </w:r>
    </w:p>
    <w:p>
      <w:pPr>
        <w:pStyle w:val="BodyText"/>
        <w:ind w:firstLine="1134"/>
        <w:rPr>
          <w:b w:val="false"/>
          <w:bCs w:val="false"/>
        </w:rPr>
      </w:pPr>
      <w:r>
        <w:rPr/>
      </w:r>
    </w:p>
    <w:p>
      <w:pPr>
        <w:pStyle w:val="Normal"/>
        <w:spacing w:lineRule="auto" w:line="240"/>
        <w:ind w:hanging="0"/>
        <w:jc w:val="center"/>
        <w:rPr>
          <w:rFonts w:cs="Arial"/>
        </w:rPr>
      </w:pPr>
      <w:bookmarkStart w:id="10" w:name="_Toc230704340"/>
      <w:bookmarkStart w:id="11" w:name="Ref_Figura1_label_and_number"/>
      <w:r>
        <w:rPr>
          <w:rFonts w:cs="Arial"/>
          <w:sz w:val="20"/>
          <w:szCs w:val="20"/>
        </w:rPr>
        <w:t xml:space="preserve">Figura </w:t>
      </w:r>
      <w:r>
        <w:rPr>
          <w:rFonts w:cs="Arial"/>
          <w:sz w:val="20"/>
          <w:szCs w:val="20"/>
        </w:rPr>
        <w:fldChar w:fldCharType="begin"/>
      </w:r>
      <w:r>
        <w:rPr>
          <w:sz w:val="20"/>
          <w:szCs w:val="20"/>
          <w:rFonts w:cs="Arial"/>
        </w:rPr>
        <w:instrText xml:space="preserve"> SEQ Figura \* ARABIC </w:instrText>
      </w:r>
      <w:r>
        <w:rPr>
          <w:sz w:val="20"/>
          <w:szCs w:val="20"/>
          <w:rFonts w:cs="Arial"/>
        </w:rPr>
        <w:fldChar w:fldCharType="separate"/>
      </w:r>
      <w:r>
        <w:rPr>
          <w:sz w:val="20"/>
          <w:szCs w:val="20"/>
          <w:rFonts w:cs="Arial"/>
        </w:rPr>
        <w:t>2</w:t>
      </w:r>
      <w:r>
        <w:rPr>
          <w:sz w:val="20"/>
          <w:szCs w:val="20"/>
          <w:rFonts w:cs="Arial"/>
        </w:rPr>
        <w:fldChar w:fldCharType="end"/>
      </w:r>
      <w:bookmarkEnd w:id="11"/>
      <w:r>
        <w:rPr>
          <w:rFonts w:cs="Arial"/>
          <w:sz w:val="20"/>
          <w:szCs w:val="20"/>
        </w:rPr>
        <w:t xml:space="preserve"> </w:t>
      </w:r>
      <w:r>
        <w:rPr>
          <w:rFonts w:cs="Arial"/>
          <w:sz w:val="20"/>
          <w:szCs w:val="20"/>
        </w:rPr>
        <w:t>– Avaliação dos Auditores x OMI para terrenos.</w:t>
      </w:r>
      <w:bookmarkEnd w:id="10"/>
    </w:p>
    <w:p>
      <w:pPr>
        <w:pStyle w:val="Normal"/>
        <w:ind w:hanging="0"/>
        <w:jc w:val="center"/>
        <w:rPr>
          <w:rFonts w:cs="Arial"/>
        </w:rPr>
      </w:pPr>
      <w:r>
        <w:rPr/>
        <w:drawing>
          <wp:inline distT="0" distB="0" distL="0" distR="0">
            <wp:extent cx="5204460" cy="2941320"/>
            <wp:effectExtent l="0" t="0" r="0" b="0"/>
            <wp:docPr id="2" name="Gráfico 1"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
              </a:graphicData>
            </a:graphic>
          </wp:inline>
        </w:drawing>
      </w:r>
    </w:p>
    <w:p>
      <w:pPr>
        <w:pStyle w:val="Normal"/>
        <w:rPr>
          <w:rFonts w:cs="Arial"/>
        </w:rPr>
      </w:pPr>
      <w:r>
        <w:rPr>
          <w:rFonts w:cs="Arial"/>
        </w:rPr>
      </w:r>
    </w:p>
    <w:p>
      <w:pPr>
        <w:pStyle w:val="BodyText"/>
        <w:ind w:firstLine="1134"/>
        <w:rPr>
          <w:rFonts w:cs="Arial"/>
        </w:rPr>
      </w:pPr>
      <w:r>
        <w:rPr>
          <w:rFonts w:cs="Arial"/>
        </w:rPr>
        <w:t>Mesmo que, sob o ponto de vista estatístico, a análise dos resíduos padronizados seja suficiente para avaliar situações em que o OMI esteja superestimando ou subestimando valores em relação às avaliações apresentadas pelos auditores, sabe-se que, na prática, a variação percentual absoluta representa de maneira mais adequada a percepção de mercado, motivo pelo qual também se faz necessária sua interpretação.</w:t>
      </w:r>
    </w:p>
    <w:p>
      <w:pPr>
        <w:pStyle w:val="BodyText"/>
        <w:rPr/>
      </w:pPr>
      <w:r>
        <w:rPr/>
        <w:t>Dessa forma, plotaram-se os resultados percentuais dos resíduos em histograma (</w:t>
      </w:r>
      <w:r>
        <w:rPr/>
        <w:fldChar w:fldCharType="begin"/>
      </w:r>
      <w:r>
        <w:rPr/>
        <w:instrText xml:space="preserve"> REF Ref_Figura2_label_and_number \h </w:instrText>
      </w:r>
      <w:r>
        <w:rPr/>
        <w:fldChar w:fldCharType="separate"/>
      </w:r>
      <w:r>
        <w:rPr/>
        <w:t>Figura 3</w:t>
      </w:r>
      <w:r>
        <w:rPr/>
        <w:fldChar w:fldCharType="end"/>
      </w:r>
      <w:r>
        <w:rPr/>
        <w:t>), o qual demonstra concentração predominante dos dados em torno da média próxima de zero, indicando equilíbrio entre casos de subestimativa e superestimativa do modelo. Em termos estatísticos, a distribuição evidencia que a maior parte dos resíduos permanece inserida dentro de faixas percentuais moderadas, reforçando a uniformidade e estabilidade do conjunto amostral analisado.</w:t>
      </w:r>
    </w:p>
    <w:p>
      <w:pPr>
        <w:pStyle w:val="BodyText"/>
        <w:rPr/>
      </w:pPr>
      <w:r>
        <w:rPr/>
        <w:t>Ainda que ocorram casos pontuais de maior dispersão percentual, estes se apresentam de forma isolada e não alteram o comportamento predominante da série. Tais ocorrências serão objeto de análise específica e refinamento pontual, especialmente nas áreas em que forem identificadas discrepâncias mais significativas entre os valores do OMI e as avaliações dos auditores, oportunizando ajustes localizados no modelo. Assim, a interpretação conjunta do gráfico de dispersão e do histograma demonstra que o OMI apresentou desempenho consistente para o conjunto de terrenos analisado, mantendo comportamento estatisticamente coerente e elevada aderência em relação às avaliações de referência encaminhadas pelos auditores.</w:t>
      </w:r>
    </w:p>
    <w:p>
      <w:pPr>
        <w:pStyle w:val="Normal"/>
        <w:ind w:firstLine="1134"/>
        <w:rPr>
          <w:rFonts w:cs="Arial"/>
        </w:rPr>
      </w:pPr>
      <w:r>
        <w:rPr>
          <w:rFonts w:cs="Arial"/>
        </w:rPr>
      </w:r>
    </w:p>
    <w:p>
      <w:pPr>
        <w:pStyle w:val="Normal"/>
        <w:spacing w:lineRule="auto" w:line="240"/>
        <w:ind w:hanging="0"/>
        <w:jc w:val="center"/>
        <w:rPr>
          <w:rFonts w:cs="Arial"/>
          <w:sz w:val="20"/>
          <w:szCs w:val="20"/>
        </w:rPr>
      </w:pPr>
      <w:bookmarkStart w:id="12" w:name="_Toc230704341"/>
      <w:bookmarkStart w:id="13" w:name="Ref_Figura2_label_and_number"/>
      <w:r>
        <w:rPr>
          <w:rFonts w:cs="Arial"/>
          <w:sz w:val="20"/>
          <w:szCs w:val="20"/>
        </w:rPr>
        <w:t xml:space="preserve">Figura </w:t>
      </w:r>
      <w:r>
        <w:rPr>
          <w:rFonts w:cs="Arial"/>
          <w:sz w:val="20"/>
          <w:szCs w:val="20"/>
        </w:rPr>
        <w:fldChar w:fldCharType="begin"/>
      </w:r>
      <w:r>
        <w:rPr>
          <w:sz w:val="20"/>
          <w:szCs w:val="20"/>
          <w:rFonts w:cs="Arial"/>
        </w:rPr>
        <w:instrText xml:space="preserve"> SEQ Figura \* ARABIC </w:instrText>
      </w:r>
      <w:r>
        <w:rPr>
          <w:sz w:val="20"/>
          <w:szCs w:val="20"/>
          <w:rFonts w:cs="Arial"/>
        </w:rPr>
        <w:fldChar w:fldCharType="separate"/>
      </w:r>
      <w:r>
        <w:rPr>
          <w:sz w:val="20"/>
          <w:szCs w:val="20"/>
          <w:rFonts w:cs="Arial"/>
        </w:rPr>
        <w:t>3</w:t>
      </w:r>
      <w:r>
        <w:rPr>
          <w:sz w:val="20"/>
          <w:szCs w:val="20"/>
          <w:rFonts w:cs="Arial"/>
        </w:rPr>
        <w:fldChar w:fldCharType="end"/>
      </w:r>
      <w:bookmarkEnd w:id="13"/>
      <w:r>
        <w:rPr>
          <w:rFonts w:cs="Arial"/>
          <w:sz w:val="20"/>
          <w:szCs w:val="20"/>
        </w:rPr>
        <w:t xml:space="preserve"> </w:t>
      </w:r>
      <w:r>
        <w:rPr>
          <w:rFonts w:cs="Arial"/>
          <w:sz w:val="20"/>
          <w:szCs w:val="20"/>
        </w:rPr>
        <w:t>– Histograma dos resíduos percentuais para terrenos.</w:t>
      </w:r>
      <w:bookmarkEnd w:id="12"/>
    </w:p>
    <w:p>
      <w:pPr>
        <w:pStyle w:val="Normal"/>
        <w:spacing w:lineRule="auto" w:line="240"/>
        <w:ind w:hanging="0"/>
        <w:rPr>
          <w:rFonts w:cs="Arial"/>
        </w:rPr>
      </w:pPr>
      <w:r>
        <w:rPr>
          <w:rFonts w:cs="Arial"/>
        </w:rPr>
      </w:r>
    </w:p>
    <w:p>
      <w:pPr>
        <w:pStyle w:val="Normal"/>
        <w:ind w:hanging="0"/>
        <w:jc w:val="center"/>
        <w:rPr>
          <w:rFonts w:cs="Arial"/>
        </w:rPr>
      </w:pPr>
      <w:r>
        <w:rPr/>
        <w:drawing>
          <wp:inline distT="0" distB="0" distL="0" distR="0">
            <wp:extent cx="5760085" cy="1941830"/>
            <wp:effectExtent l="0" t="0" r="0" b="0"/>
            <wp:docPr id="3"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descr=""/>
                    <pic:cNvPicPr>
                      <a:picLocks noChangeAspect="1" noChangeArrowheads="1"/>
                    </pic:cNvPicPr>
                  </pic:nvPicPr>
                  <pic:blipFill>
                    <a:blip r:embed="rId4"/>
                    <a:stretch>
                      <a:fillRect/>
                    </a:stretch>
                  </pic:blipFill>
                  <pic:spPr bwMode="auto">
                    <a:xfrm>
                      <a:off x="0" y="0"/>
                      <a:ext cx="5760085" cy="1941830"/>
                    </a:xfrm>
                    <a:prstGeom prst="rect">
                      <a:avLst/>
                    </a:prstGeom>
                  </pic:spPr>
                </pic:pic>
              </a:graphicData>
            </a:graphic>
          </wp:inline>
        </w:drawing>
      </w:r>
    </w:p>
    <w:p>
      <w:pPr>
        <w:pStyle w:val="Normal"/>
        <w:ind w:hanging="0"/>
        <w:rPr>
          <w:rFonts w:cs="Arial"/>
        </w:rPr>
      </w:pPr>
      <w:r>
        <w:rPr>
          <w:rFonts w:cs="Arial"/>
        </w:rPr>
      </w:r>
    </w:p>
    <w:p>
      <w:pPr>
        <w:pStyle w:val="Normal"/>
        <w:ind w:firstLine="1134"/>
        <w:rPr>
          <w:rFonts w:cs="Arial"/>
        </w:rPr>
      </w:pPr>
      <w:r>
        <w:rPr>
          <w:rFonts w:cs="Arial"/>
        </w:rPr>
        <w:t xml:space="preserve">Em complemento à análise realizada, buscou-se investigar a possível existência de tendência espacial nos resíduos, ou seja, verificar se os desvios observados apresentam algum padrão de concentração em áreas específicas do território analisado. Para tanto, procedeu-se à representação espacial dos resíduos a partir de suas respectivas coordenadas geográficas, possibilitando a visualização da distribuição espacial dessas discrepâncias, conforme apresentado na </w:t>
      </w:r>
      <w:r>
        <w:rPr>
          <w:rFonts w:cs="Arial"/>
        </w:rPr>
        <w:fldChar w:fldCharType="begin"/>
      </w:r>
      <w:r>
        <w:rPr>
          <w:rFonts w:cs="Arial"/>
        </w:rPr>
        <w:instrText xml:space="preserve"> REF Ref_Figura3_label_and_number \h </w:instrText>
      </w:r>
      <w:r>
        <w:rPr>
          <w:rFonts w:cs="Arial"/>
        </w:rPr>
        <w:fldChar w:fldCharType="separate"/>
      </w:r>
      <w:r>
        <w:rPr>
          <w:rFonts w:cs="Arial"/>
        </w:rPr>
        <w:t>Figura 4</w:t>
      </w:r>
      <w:r>
        <w:rPr>
          <w:rFonts w:cs="Arial"/>
        </w:rPr>
        <w:fldChar w:fldCharType="end"/>
      </w:r>
      <w:r>
        <w:rPr>
          <w:rFonts w:cs="Arial"/>
        </w:rPr>
        <w:t>.</w:t>
      </w:r>
    </w:p>
    <w:p>
      <w:pPr>
        <w:pStyle w:val="Normal"/>
        <w:ind w:hanging="0"/>
        <w:rPr>
          <w:rFonts w:cs="Arial"/>
        </w:rPr>
      </w:pPr>
      <w:r>
        <w:rPr>
          <w:rFonts w:cs="Arial"/>
        </w:rPr>
      </w:r>
    </w:p>
    <w:p>
      <w:pPr>
        <w:pStyle w:val="Normal"/>
        <w:ind w:hanging="0"/>
        <w:jc w:val="center"/>
        <w:rPr>
          <w:rFonts w:cs="Arial"/>
        </w:rPr>
      </w:pPr>
      <w:bookmarkStart w:id="14" w:name="_Toc230704342"/>
      <w:bookmarkStart w:id="15" w:name="Ref_Figura3_label_and_number"/>
      <w:r>
        <w:rPr>
          <w:rFonts w:cs="Arial"/>
          <w:sz w:val="20"/>
          <w:szCs w:val="20"/>
        </w:rPr>
        <w:t xml:space="preserve">Figura </w:t>
      </w:r>
      <w:r>
        <w:rPr>
          <w:rFonts w:cs="Arial"/>
          <w:sz w:val="20"/>
          <w:szCs w:val="20"/>
        </w:rPr>
        <w:fldChar w:fldCharType="begin"/>
      </w:r>
      <w:r>
        <w:rPr>
          <w:sz w:val="20"/>
          <w:szCs w:val="20"/>
          <w:rFonts w:cs="Arial"/>
        </w:rPr>
        <w:instrText xml:space="preserve"> SEQ Figura \* ARABIC </w:instrText>
      </w:r>
      <w:r>
        <w:rPr>
          <w:sz w:val="20"/>
          <w:szCs w:val="20"/>
          <w:rFonts w:cs="Arial"/>
        </w:rPr>
        <w:fldChar w:fldCharType="separate"/>
      </w:r>
      <w:r>
        <w:rPr>
          <w:sz w:val="20"/>
          <w:szCs w:val="20"/>
          <w:rFonts w:cs="Arial"/>
        </w:rPr>
        <w:t>4</w:t>
      </w:r>
      <w:r>
        <w:rPr>
          <w:sz w:val="20"/>
          <w:szCs w:val="20"/>
          <w:rFonts w:cs="Arial"/>
        </w:rPr>
        <w:fldChar w:fldCharType="end"/>
      </w:r>
      <w:bookmarkEnd w:id="15"/>
      <w:r>
        <w:rPr>
          <w:rFonts w:cs="Arial"/>
          <w:sz w:val="20"/>
          <w:szCs w:val="20"/>
        </w:rPr>
        <w:t xml:space="preserve"> </w:t>
      </w:r>
      <w:r>
        <w:rPr>
          <w:rFonts w:cs="Arial"/>
          <w:sz w:val="20"/>
          <w:szCs w:val="20"/>
        </w:rPr>
        <w:t>– Localização dos terrenos avaliados e rotulagem dos resíduos.</w:t>
      </w:r>
      <w:bookmarkEnd w:id="14"/>
    </w:p>
    <w:p>
      <w:pPr>
        <w:pStyle w:val="Normal"/>
        <w:ind w:hanging="0"/>
        <w:jc w:val="center"/>
        <w:rPr>
          <w:rFonts w:cs="Arial"/>
        </w:rPr>
      </w:pPr>
      <w:r>
        <w:rPr/>
        <w:drawing>
          <wp:inline distT="0" distB="0" distL="0" distR="0">
            <wp:extent cx="3804285" cy="4747260"/>
            <wp:effectExtent l="0" t="0" r="0" b="0"/>
            <wp:docPr id="4"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2" descr=""/>
                    <pic:cNvPicPr>
                      <a:picLocks noChangeAspect="1" noChangeArrowheads="1"/>
                    </pic:cNvPicPr>
                  </pic:nvPicPr>
                  <pic:blipFill>
                    <a:blip r:embed="rId5"/>
                    <a:srcRect l="11262" t="0" r="6647" b="0"/>
                    <a:stretch>
                      <a:fillRect/>
                    </a:stretch>
                  </pic:blipFill>
                  <pic:spPr bwMode="auto">
                    <a:xfrm>
                      <a:off x="0" y="0"/>
                      <a:ext cx="3804285" cy="4747260"/>
                    </a:xfrm>
                    <a:prstGeom prst="rect">
                      <a:avLst/>
                    </a:prstGeom>
                  </pic:spPr>
                </pic:pic>
              </a:graphicData>
            </a:graphic>
          </wp:inline>
        </w:drawing>
      </w:r>
    </w:p>
    <w:p>
      <w:pPr>
        <w:pStyle w:val="Normal"/>
        <w:ind w:hanging="0"/>
        <w:rPr/>
      </w:pPr>
      <w:r>
        <w:rPr/>
        <w:tab/>
        <w:t xml:space="preserve">A análise da figura demonstra que os resíduos se distribuem de maneira aleatória, não sendo identificada influência significativa de componente espacial. Dessa forma, a investigação passa a considerar fatores de características locais específicas de cada terreno. Os casos de superestimação podem estar associados à presença de polos de desenvolvimento ou áreas de valorização imobiliária. Ressalta-se, contudo, que os pontos com discrepâncias mais significativas serão objeto de análise específica e, caso ainda não exista polo de valorização devidamente identificado na região, serão promovidos ajustes pontuais no modelo, visando aprimorar a aderência espacial e estatística dos resultados obtidos pelo OMI. </w:t>
      </w:r>
    </w:p>
    <w:p>
      <w:pPr>
        <w:pStyle w:val="Normal"/>
        <w:ind w:firstLine="1134"/>
        <w:rPr>
          <w:rFonts w:cs="Arial"/>
        </w:rPr>
      </w:pPr>
      <w:r>
        <w:rPr>
          <w:rFonts w:cs="Arial"/>
        </w:rPr>
      </w:r>
    </w:p>
    <w:p>
      <w:pPr>
        <w:pStyle w:val="Heading3"/>
        <w:numPr>
          <w:ilvl w:val="0"/>
          <w:numId w:val="0"/>
        </w:numPr>
        <w:ind w:hanging="0" w:left="0"/>
        <w:rPr>
          <w:b/>
          <w:bCs/>
        </w:rPr>
      </w:pPr>
      <w:bookmarkStart w:id="16" w:name="__RefHeading___Toc12821_1774815877"/>
      <w:bookmarkStart w:id="17" w:name="_Toc230704175"/>
      <w:bookmarkEnd w:id="16"/>
      <w:r>
        <w:rPr>
          <w:b/>
          <w:bCs/>
        </w:rPr>
        <w:t>3.1 Segundo conjunto amostral de terrenos</w:t>
      </w:r>
      <w:bookmarkEnd w:id="17"/>
      <w:r>
        <w:rPr>
          <w:b/>
          <w:bCs/>
        </w:rPr>
        <w:t xml:space="preserve"> </w:t>
      </w:r>
    </w:p>
    <w:p>
      <w:pPr>
        <w:pStyle w:val="Normal"/>
        <w:ind w:firstLine="1134"/>
        <w:rPr/>
      </w:pPr>
      <w:r>
        <w:rPr/>
      </w:r>
    </w:p>
    <w:p>
      <w:pPr>
        <w:pStyle w:val="Normal"/>
        <w:tabs>
          <w:tab w:val="clear" w:pos="708"/>
          <w:tab w:val="left" w:pos="5245" w:leader="none"/>
        </w:tabs>
        <w:ind w:firstLine="1134"/>
        <w:rPr/>
      </w:pPr>
      <w:r>
        <w:rPr/>
        <w:t>Foi encaminhado um segundo conjunto amostral referente a terrenos, identificado como composto por amostras provenientes da internet, totalizando 334 registros contendo informações de área, valores e bairro. Contudo, observou-se que apenas 17 amostras apresentavam elementos suficientes para localização, tais como endereço ou inscrição imobiliária. Destas, foi possível identificar adequadamente 13 registros (</w:t>
      </w:r>
      <w:r>
        <w:rPr/>
        <w:fldChar w:fldCharType="begin"/>
      </w:r>
      <w:r>
        <w:rPr/>
        <w:instrText xml:space="preserve"> REF _Ref230695857 \h </w:instrText>
      </w:r>
      <w:r>
        <w:rPr/>
        <w:fldChar w:fldCharType="separate"/>
      </w:r>
      <w:r>
        <w:rPr/>
        <w:t>Tabela 2</w:t>
      </w:r>
      <w:r>
        <w:rPr/>
        <w:fldChar w:fldCharType="end"/>
      </w:r>
      <w:r>
        <w:rPr/>
        <w:t>), os quais subsidiaram a realização de análise comparativa entre o VM2 dos pontos amostrais e o VM2 correspondente da Planta de Valores Genéricos (PVG) vigente</w:t>
      </w:r>
      <w:r>
        <w:rPr>
          <w:rFonts w:cs="Arial"/>
        </w:rPr>
        <w:t>.</w:t>
      </w:r>
    </w:p>
    <w:p>
      <w:pPr>
        <w:pStyle w:val="Normal"/>
        <w:ind w:firstLine="1134"/>
        <w:rPr>
          <w:rFonts w:cs="Arial"/>
        </w:rPr>
      </w:pPr>
      <w:r>
        <w:rPr>
          <w:rFonts w:cs="Arial"/>
        </w:rPr>
      </w:r>
    </w:p>
    <w:p>
      <w:pPr>
        <w:pStyle w:val="Caption1"/>
        <w:keepNext w:val="true"/>
        <w:spacing w:lineRule="auto" w:line="360"/>
        <w:jc w:val="center"/>
        <w:rPr>
          <w:rFonts w:ascii="Arial" w:hAnsi="Arial" w:cs="Arial"/>
          <w:i w:val="false"/>
          <w:i w:val="false"/>
          <w:iCs w:val="false"/>
          <w:sz w:val="20"/>
          <w:szCs w:val="20"/>
        </w:rPr>
      </w:pPr>
      <w:bookmarkStart w:id="18" w:name="_Toc230704353"/>
      <w:bookmarkStart w:id="19" w:name="_Ref230695857"/>
      <w:r>
        <w:rPr>
          <w:rFonts w:cs="Arial" w:ascii="Arial" w:hAnsi="Arial"/>
          <w:i w:val="false"/>
          <w:iCs w:val="false"/>
          <w:sz w:val="20"/>
          <w:szCs w:val="20"/>
        </w:rPr>
        <w:t xml:space="preserve">Tabela </w:t>
      </w:r>
      <w:r>
        <w:rPr>
          <w:rFonts w:cs="Arial" w:ascii="Arial" w:hAnsi="Arial"/>
          <w:i w:val="false"/>
          <w:iCs w:val="false"/>
          <w:sz w:val="20"/>
          <w:szCs w:val="20"/>
        </w:rPr>
        <w:fldChar w:fldCharType="begin"/>
      </w:r>
      <w:r>
        <w:rPr>
          <w:sz w:val="20"/>
          <w:i w:val="false"/>
          <w:szCs w:val="20"/>
          <w:iCs w:val="false"/>
          <w:rFonts w:cs="Arial" w:ascii="Arial" w:hAnsi="Arial"/>
        </w:rPr>
        <w:instrText xml:space="preserve"> SEQ Tabela \* ARABIC </w:instrText>
      </w:r>
      <w:r>
        <w:rPr>
          <w:sz w:val="20"/>
          <w:i w:val="false"/>
          <w:szCs w:val="20"/>
          <w:iCs w:val="false"/>
          <w:rFonts w:cs="Arial" w:ascii="Arial" w:hAnsi="Arial"/>
        </w:rPr>
        <w:fldChar w:fldCharType="separate"/>
      </w:r>
      <w:r>
        <w:rPr>
          <w:sz w:val="20"/>
          <w:i w:val="false"/>
          <w:szCs w:val="20"/>
          <w:iCs w:val="false"/>
          <w:rFonts w:cs="Arial" w:ascii="Arial" w:hAnsi="Arial"/>
        </w:rPr>
        <w:t>2</w:t>
      </w:r>
      <w:r>
        <w:rPr>
          <w:sz w:val="20"/>
          <w:i w:val="false"/>
          <w:szCs w:val="20"/>
          <w:iCs w:val="false"/>
          <w:rFonts w:cs="Arial" w:ascii="Arial" w:hAnsi="Arial"/>
        </w:rPr>
        <w:fldChar w:fldCharType="end"/>
      </w:r>
      <w:bookmarkEnd w:id="19"/>
      <w:r>
        <w:rPr>
          <w:rFonts w:cs="Arial" w:ascii="Arial" w:hAnsi="Arial"/>
          <w:i w:val="false"/>
          <w:iCs w:val="false"/>
          <w:sz w:val="20"/>
          <w:szCs w:val="20"/>
        </w:rPr>
        <w:t xml:space="preserve"> - Tabela comparativa entre Valor do Metro Quadrado (VM2) das amostras e da PVG</w:t>
      </w:r>
      <w:bookmarkEnd w:id="18"/>
    </w:p>
    <w:tbl>
      <w:tblPr>
        <w:tblW w:w="4875"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975"/>
        <w:gridCol w:w="972"/>
        <w:gridCol w:w="976"/>
        <w:gridCol w:w="976"/>
        <w:gridCol w:w="976"/>
      </w:tblGrid>
      <w:tr>
        <w:trPr>
          <w:trHeight w:val="288" w:hRule="atLeast"/>
        </w:trPr>
        <w:tc>
          <w:tcPr>
            <w:tcW w:w="975"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b/>
                <w:bCs/>
                <w:color w:val="000000"/>
                <w:sz w:val="22"/>
                <w:szCs w:val="22"/>
              </w:rPr>
            </w:pPr>
            <w:r>
              <w:rPr>
                <w:rFonts w:cs="Calibri" w:ascii="Calibri" w:hAnsi="Calibri"/>
                <w:b/>
                <w:bCs/>
                <w:color w:val="000000"/>
                <w:sz w:val="22"/>
                <w:szCs w:val="22"/>
              </w:rPr>
              <w:t>vm2</w:t>
            </w:r>
          </w:p>
        </w:tc>
        <w:tc>
          <w:tcPr>
            <w:tcW w:w="972"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b/>
                <w:bCs/>
                <w:color w:val="000000"/>
                <w:sz w:val="22"/>
                <w:szCs w:val="22"/>
              </w:rPr>
            </w:pPr>
            <w:r>
              <w:rPr>
                <w:rFonts w:cs="Calibri" w:ascii="Calibri" w:hAnsi="Calibri"/>
                <w:b/>
                <w:bCs/>
                <w:color w:val="000000"/>
                <w:sz w:val="22"/>
                <w:szCs w:val="22"/>
              </w:rPr>
              <w:t>vm2_pvg</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b/>
                <w:bCs/>
                <w:color w:val="000000"/>
                <w:sz w:val="22"/>
                <w:szCs w:val="22"/>
              </w:rPr>
            </w:pPr>
            <w:r>
              <w:rPr>
                <w:rFonts w:cs="Calibri" w:ascii="Calibri" w:hAnsi="Calibri"/>
                <w:b/>
                <w:bCs/>
                <w:color w:val="000000"/>
                <w:sz w:val="22"/>
                <w:szCs w:val="22"/>
              </w:rPr>
              <w:t>res</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b/>
                <w:bCs/>
                <w:color w:val="000000"/>
                <w:sz w:val="22"/>
                <w:szCs w:val="22"/>
              </w:rPr>
            </w:pPr>
            <w:r>
              <w:rPr>
                <w:rFonts w:cs="Calibri" w:ascii="Calibri" w:hAnsi="Calibri"/>
                <w:b/>
                <w:bCs/>
                <w:color w:val="000000"/>
                <w:sz w:val="22"/>
                <w:szCs w:val="22"/>
              </w:rPr>
              <w:t>z</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b/>
                <w:bCs/>
                <w:color w:val="000000"/>
                <w:sz w:val="22"/>
                <w:szCs w:val="22"/>
              </w:rPr>
            </w:pPr>
            <w:r>
              <w:rPr>
                <w:rFonts w:cs="Calibri" w:ascii="Calibri" w:hAnsi="Calibri"/>
                <w:b/>
                <w:bCs/>
                <w:color w:val="000000"/>
                <w:sz w:val="22"/>
                <w:szCs w:val="22"/>
              </w:rPr>
              <w:t>res_perc</w:t>
            </w:r>
          </w:p>
        </w:tc>
      </w:tr>
      <w:tr>
        <w:trPr>
          <w:trHeight w:val="288" w:hRule="atLeast"/>
        </w:trPr>
        <w:tc>
          <w:tcPr>
            <w:tcW w:w="975"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3313,672</w:t>
            </w:r>
          </w:p>
        </w:tc>
        <w:tc>
          <w:tcPr>
            <w:tcW w:w="972"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165,03</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3148,642</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2,228619</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-95,0197</w:t>
            </w:r>
          </w:p>
        </w:tc>
      </w:tr>
      <w:tr>
        <w:trPr>
          <w:trHeight w:val="288" w:hRule="atLeast"/>
        </w:trPr>
        <w:tc>
          <w:tcPr>
            <w:tcW w:w="975"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500</w:t>
            </w:r>
          </w:p>
        </w:tc>
        <w:tc>
          <w:tcPr>
            <w:tcW w:w="972"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295,76</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204,24</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-0,1452</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-40,848</w:t>
            </w:r>
          </w:p>
        </w:tc>
      </w:tr>
      <w:tr>
        <w:trPr>
          <w:trHeight w:val="288" w:hRule="atLeast"/>
        </w:trPr>
        <w:tc>
          <w:tcPr>
            <w:tcW w:w="975"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300</w:t>
            </w:r>
          </w:p>
        </w:tc>
        <w:tc>
          <w:tcPr>
            <w:tcW w:w="972"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295,76</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4,24</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-0,30645</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-1,41333</w:t>
            </w:r>
          </w:p>
        </w:tc>
      </w:tr>
      <w:tr>
        <w:trPr>
          <w:trHeight w:val="288" w:hRule="atLeast"/>
        </w:trPr>
        <w:tc>
          <w:tcPr>
            <w:tcW w:w="975"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462,963</w:t>
            </w:r>
          </w:p>
        </w:tc>
        <w:tc>
          <w:tcPr>
            <w:tcW w:w="972"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353,78</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109,183</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-0,22184</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-23,5835</w:t>
            </w:r>
          </w:p>
        </w:tc>
      </w:tr>
      <w:tr>
        <w:trPr>
          <w:trHeight w:val="288" w:hRule="atLeast"/>
        </w:trPr>
        <w:tc>
          <w:tcPr>
            <w:tcW w:w="975"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3137,931</w:t>
            </w:r>
          </w:p>
        </w:tc>
        <w:tc>
          <w:tcPr>
            <w:tcW w:w="972"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362,11</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2775,821</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1,928044</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-88,4602</w:t>
            </w:r>
          </w:p>
        </w:tc>
      </w:tr>
      <w:tr>
        <w:trPr>
          <w:trHeight w:val="288" w:hRule="atLeast"/>
        </w:trPr>
        <w:tc>
          <w:tcPr>
            <w:tcW w:w="975"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416,6667</w:t>
            </w:r>
          </w:p>
        </w:tc>
        <w:tc>
          <w:tcPr>
            <w:tcW w:w="972"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417,81</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-1,14333</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-0,31079</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0,2744</w:t>
            </w:r>
          </w:p>
        </w:tc>
      </w:tr>
      <w:tr>
        <w:trPr>
          <w:trHeight w:val="288" w:hRule="atLeast"/>
        </w:trPr>
        <w:tc>
          <w:tcPr>
            <w:tcW w:w="975"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196,1372</w:t>
            </w:r>
          </w:p>
        </w:tc>
        <w:tc>
          <w:tcPr>
            <w:tcW w:w="972"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434,29</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-238,153</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-0,50187</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121,4215</w:t>
            </w:r>
          </w:p>
        </w:tc>
      </w:tr>
      <w:tr>
        <w:trPr>
          <w:trHeight w:val="288" w:hRule="atLeast"/>
        </w:trPr>
        <w:tc>
          <w:tcPr>
            <w:tcW w:w="975"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823,6866</w:t>
            </w:r>
          </w:p>
        </w:tc>
        <w:tc>
          <w:tcPr>
            <w:tcW w:w="972"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742,76</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80,92655</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-0,24462</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-9,82492</w:t>
            </w:r>
          </w:p>
        </w:tc>
      </w:tr>
      <w:tr>
        <w:trPr>
          <w:trHeight w:val="288" w:hRule="atLeast"/>
        </w:trPr>
        <w:tc>
          <w:tcPr>
            <w:tcW w:w="975"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1103,704</w:t>
            </w:r>
          </w:p>
        </w:tc>
        <w:tc>
          <w:tcPr>
            <w:tcW w:w="972"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917,29</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186,4137</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-0,15958</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-16,8898</w:t>
            </w:r>
          </w:p>
        </w:tc>
      </w:tr>
      <w:tr>
        <w:trPr>
          <w:trHeight w:val="288" w:hRule="atLeast"/>
        </w:trPr>
        <w:tc>
          <w:tcPr>
            <w:tcW w:w="975"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742,8571</w:t>
            </w:r>
          </w:p>
        </w:tc>
        <w:tc>
          <w:tcPr>
            <w:tcW w:w="972"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1270,73</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-527,873</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-0,73544</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71,05981</w:t>
            </w:r>
          </w:p>
        </w:tc>
      </w:tr>
      <w:tr>
        <w:trPr>
          <w:trHeight w:val="288" w:hRule="atLeast"/>
        </w:trPr>
        <w:tc>
          <w:tcPr>
            <w:tcW w:w="975"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1250</w:t>
            </w:r>
          </w:p>
        </w:tc>
        <w:tc>
          <w:tcPr>
            <w:tcW w:w="972"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1751,43</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-501,43</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-0,71413</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40,1144</w:t>
            </w:r>
          </w:p>
        </w:tc>
      </w:tr>
      <w:tr>
        <w:trPr>
          <w:trHeight w:val="288" w:hRule="atLeast"/>
        </w:trPr>
        <w:tc>
          <w:tcPr>
            <w:tcW w:w="975"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3125</w:t>
            </w:r>
          </w:p>
        </w:tc>
        <w:tc>
          <w:tcPr>
            <w:tcW w:w="972"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3753,72</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-628,72</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-0,81675</w:t>
            </w:r>
          </w:p>
        </w:tc>
        <w:tc>
          <w:tcPr>
            <w:tcW w:w="976" w:type="dxa"/>
            <w:tcBorders>
              <w:top w:val="single" w:sz="4" w:space="0" w:color="000000"/>
              <w:left w:val="single" w:sz="4" w:space="0" w:color="000000"/>
              <w:bottom w:val="single" w:sz="4" w:space="0" w:color="000000"/>
              <w:right w:val="single" w:sz="4" w:space="0" w:color="000000"/>
            </w:tcBorders>
            <w:vAlign w:val="bottom"/>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20,11904</w:t>
            </w:r>
          </w:p>
        </w:tc>
      </w:tr>
    </w:tbl>
    <w:p>
      <w:pPr>
        <w:pStyle w:val="Normal"/>
        <w:ind w:hanging="0"/>
        <w:rPr>
          <w:rFonts w:cs="Arial"/>
        </w:rPr>
      </w:pPr>
      <w:r>
        <w:rPr>
          <w:rFonts w:cs="Arial"/>
        </w:rPr>
      </w:r>
    </w:p>
    <w:p>
      <w:pPr>
        <w:pStyle w:val="Normal"/>
        <w:ind w:hanging="0"/>
        <w:rPr>
          <w:rFonts w:cs="Arial"/>
        </w:rPr>
      </w:pPr>
      <w:r>
        <w:rPr>
          <w:rFonts w:cs="Arial"/>
        </w:rPr>
      </w:r>
    </w:p>
    <w:p>
      <w:pPr>
        <w:pStyle w:val="Normal"/>
        <w:ind w:firstLine="432"/>
        <w:rPr>
          <w:rFonts w:cs="Arial"/>
        </w:rPr>
      </w:pPr>
      <w:r>
        <w:rPr>
          <w:rFonts w:cs="Arial"/>
          <w:shd w:fill="auto" w:val="clear"/>
        </w:rPr>
        <w:t>A inexistência de endereços completos ou informações de geolocalização inviabilizou a análise individualizada de todas as amostras, limitando a verificação detalhada de suas características e contexto espacial. Ainda assim, os dados e padrões identificados nas análises realizadas serão incorporados como fatores na camada de terrenos, oportunizando refinamentos pontuais e aprimorando a aderência espacial dos resultados obtidos pelo OMI.</w:t>
      </w:r>
      <w:r>
        <w:rPr>
          <w:rFonts w:cs="Arial"/>
          <w:shd w:fill="FFFF00" w:val="clear"/>
        </w:rPr>
        <w:t xml:space="preserve"> </w:t>
      </w:r>
    </w:p>
    <w:p>
      <w:pPr>
        <w:pStyle w:val="Heading1"/>
        <w:rPr/>
      </w:pPr>
      <w:bookmarkStart w:id="20" w:name="__RefHeading___Toc12823_1774815877"/>
      <w:bookmarkStart w:id="21" w:name="_Toc230704176"/>
      <w:bookmarkEnd w:id="20"/>
      <w:r>
        <w:rPr>
          <w:caps w:val="false"/>
          <w:smallCaps w:val="false"/>
        </w:rPr>
        <w:t xml:space="preserve">4.  </w:t>
        <w:tab/>
        <w:tab/>
        <w:t>ANÁLISE DAS AMOSTRAS DE CASAS</w:t>
      </w:r>
      <w:bookmarkEnd w:id="21"/>
    </w:p>
    <w:p>
      <w:pPr>
        <w:pStyle w:val="Normal"/>
        <w:ind w:firstLine="1134"/>
        <w:rPr>
          <w:rFonts w:cs="Arial"/>
        </w:rPr>
      </w:pPr>
      <w:r>
        <w:rPr>
          <w:rFonts w:cs="Arial"/>
          <w:lang w:val="en-US"/>
        </w:rPr>
        <w:t>Para a tipologia de casas, foram analisadas 112 amostras comparativas entre os valores de avaliação apresentados pelos auditores e os valores estimados pelo OMI na data de 04/05/2026 (</w:t>
      </w:r>
      <w:r>
        <w:rPr>
          <w:rFonts w:cs="Arial"/>
          <w:lang w:val="en-US"/>
        </w:rPr>
        <w:fldChar w:fldCharType="begin"/>
      </w:r>
      <w:r>
        <w:rPr>
          <w:rFonts w:cs="Arial"/>
          <w:lang w:val="en-US"/>
        </w:rPr>
        <w:instrText xml:space="preserve"> REF Ref_Tabela2_label_and_number \h </w:instrText>
      </w:r>
      <w:r>
        <w:rPr>
          <w:rFonts w:cs="Arial"/>
          <w:lang w:val="en-US"/>
        </w:rPr>
        <w:fldChar w:fldCharType="separate"/>
      </w:r>
      <w:r>
        <w:rPr>
          <w:rFonts w:cs="Arial"/>
          <w:lang w:val="en-US"/>
        </w:rPr>
        <w:t>Tabela 3</w:t>
      </w:r>
      <w:r>
        <w:rPr>
          <w:rFonts w:cs="Arial"/>
          <w:lang w:val="en-US"/>
        </w:rPr>
        <w:fldChar w:fldCharType="end"/>
      </w:r>
      <w:r>
        <w:rPr>
          <w:rFonts w:cs="Arial"/>
          <w:lang w:val="en-US"/>
        </w:rPr>
        <w:t xml:space="preserve">). A </w:t>
      </w:r>
      <w:r>
        <w:rPr>
          <w:rFonts w:cs="Arial"/>
          <w:lang w:val="pt-BR"/>
        </w:rPr>
        <w:t>partir</w:t>
      </w:r>
      <w:r>
        <w:rPr>
          <w:rFonts w:cs="Arial"/>
          <w:lang w:val="en-US"/>
        </w:rPr>
        <w:t xml:space="preserve"> do </w:t>
      </w:r>
      <w:r>
        <w:rPr>
          <w:rFonts w:cs="Arial"/>
          <w:lang w:val="pt-BR"/>
        </w:rPr>
        <w:t>pareamento</w:t>
      </w:r>
      <w:r>
        <w:rPr>
          <w:rFonts w:cs="Arial"/>
          <w:lang w:val="en-US"/>
        </w:rPr>
        <w:t xml:space="preserve"> entre os dados, calculou-se a diferença entre o valor auditado e o valor obtido pelo OMI para cada imóvel, originando os resíduos positivos e negativos, posteriormente padronizados em unidade adimensional (z-score), com base na média e no desvio-padrão da série. Complementarmente, foi calculada a variação percentual entre os valores comparados, apresentada na coluna “resíduos_perc”.</w:t>
      </w:r>
    </w:p>
    <w:p>
      <w:pPr>
        <w:pStyle w:val="BodyText"/>
        <w:rPr/>
      </w:pPr>
      <w:r>
        <w:rPr/>
        <w:t>Sob a ótica estatística, observa-se que o conjunto amostral apresenta comportamento relativamente homogêneo, com predominância de z-scores concentrados próximos de zero e dispersão moderada em torno da média. Tal comportamento indica aderência satisfatória entre os valores estimados pelo OMI e aqueles informados pelos auditores para a maior parte das amostras analisadas. Ainda que existam ocorrências de resíduos mais elevados, positivos e negativos, a distribuição geral mantém-se dentro de um intervalo estatisticamente esperado, evidenciando estabilidade no comportamento global da série.</w:t>
      </w:r>
    </w:p>
    <w:p>
      <w:pPr>
        <w:pStyle w:val="BodyText"/>
        <w:rPr/>
      </w:pPr>
      <w:r>
        <w:rPr/>
        <w:t xml:space="preserve">Em relação às variações percentuais, verifica-se que parcela significativa das amostras apresenta diferenças moderadas entre os valores comparados, reforçando a coerência entre os resultados produzidos pelo modelo e os valores utilizados como referência. Contudo, nota-se maior amplitude de dispersão em comparação à tipologia de terrenos, evidenciada pela presença de amostras com diferenças percentuais mais elevadas, tanto de superestimação quanto de subestimação. </w:t>
      </w:r>
    </w:p>
    <w:p>
      <w:pPr>
        <w:sectPr>
          <w:headerReference w:type="default" r:id="rId6"/>
          <w:headerReference w:type="first" r:id="rId7"/>
          <w:footerReference w:type="default" r:id="rId8"/>
          <w:footerReference w:type="first" r:id="rId9"/>
          <w:type w:val="nextPage"/>
          <w:pgSz w:w="11906" w:h="16838"/>
          <w:pgMar w:left="1701" w:right="1134" w:gutter="0" w:header="709" w:top="1701" w:footer="709" w:bottom="1134"/>
          <w:pgNumType w:fmt="decimal"/>
          <w:formProt w:val="false"/>
          <w:titlePg/>
          <w:textDirection w:val="lrTb"/>
          <w:docGrid w:type="default" w:linePitch="360" w:charSpace="0"/>
        </w:sectPr>
        <w:pStyle w:val="BodyText"/>
        <w:ind w:hanging="0"/>
        <w:rPr/>
      </w:pPr>
      <w:r>
        <w:rPr/>
        <w:tab/>
        <w:t>Ainda assim, o comportamento predominante do conjunto demonstra consistência estatística e capacidade preditiva satisfatória do OMI para a tipologia analisada, sendo os casos discrepantes tratados como ocorrências pontuais possivelmente associadas a características específicas dos imóveis, fatores construtivos, padrão de acabamento ou variáveis locais não integralmente capturadas pelo modelo.</w:t>
      </w:r>
    </w:p>
    <w:p>
      <w:pPr>
        <w:pStyle w:val="Caption1"/>
        <w:keepNext w:val="true"/>
        <w:spacing w:lineRule="auto" w:line="360" w:before="120" w:after="0"/>
        <w:jc w:val="center"/>
        <w:rPr>
          <w:rFonts w:ascii="Arial" w:hAnsi="Arial" w:cs="Arial"/>
          <w:i w:val="false"/>
          <w:i w:val="false"/>
          <w:iCs w:val="false"/>
          <w:sz w:val="20"/>
          <w:szCs w:val="20"/>
        </w:rPr>
      </w:pPr>
      <w:bookmarkStart w:id="22" w:name="_Toc230704354"/>
      <w:bookmarkStart w:id="23" w:name="Ref_Tabela2_label_and_number"/>
      <w:r>
        <w:rPr>
          <w:rFonts w:cs="Arial" w:ascii="Arial" w:hAnsi="Arial"/>
          <w:i w:val="false"/>
          <w:iCs w:val="false"/>
          <w:sz w:val="20"/>
          <w:szCs w:val="20"/>
        </w:rPr>
        <w:t xml:space="preserve">Tabela </w:t>
      </w:r>
      <w:r>
        <w:rPr>
          <w:rFonts w:cs="Arial" w:ascii="Arial" w:hAnsi="Arial"/>
          <w:i w:val="false"/>
          <w:iCs w:val="false"/>
          <w:sz w:val="20"/>
          <w:szCs w:val="20"/>
        </w:rPr>
        <w:fldChar w:fldCharType="begin"/>
      </w:r>
      <w:r>
        <w:rPr>
          <w:sz w:val="20"/>
          <w:i w:val="false"/>
          <w:szCs w:val="20"/>
          <w:iCs w:val="false"/>
          <w:rFonts w:cs="Arial" w:ascii="Arial" w:hAnsi="Arial"/>
        </w:rPr>
        <w:instrText xml:space="preserve"> SEQ Tabela \* ARABIC </w:instrText>
      </w:r>
      <w:r>
        <w:rPr>
          <w:sz w:val="20"/>
          <w:i w:val="false"/>
          <w:szCs w:val="20"/>
          <w:iCs w:val="false"/>
          <w:rFonts w:cs="Arial" w:ascii="Arial" w:hAnsi="Arial"/>
        </w:rPr>
        <w:fldChar w:fldCharType="separate"/>
      </w:r>
      <w:r>
        <w:rPr>
          <w:sz w:val="20"/>
          <w:i w:val="false"/>
          <w:szCs w:val="20"/>
          <w:iCs w:val="false"/>
          <w:rFonts w:cs="Arial" w:ascii="Arial" w:hAnsi="Arial"/>
        </w:rPr>
        <w:t>3</w:t>
      </w:r>
      <w:r>
        <w:rPr>
          <w:sz w:val="20"/>
          <w:i w:val="false"/>
          <w:szCs w:val="20"/>
          <w:iCs w:val="false"/>
          <w:rFonts w:cs="Arial" w:ascii="Arial" w:hAnsi="Arial"/>
        </w:rPr>
        <w:fldChar w:fldCharType="end"/>
      </w:r>
      <w:bookmarkEnd w:id="23"/>
      <w:r>
        <w:rPr>
          <w:rFonts w:cs="Arial" w:ascii="Arial" w:hAnsi="Arial"/>
          <w:i w:val="false"/>
          <w:iCs w:val="false"/>
          <w:sz w:val="20"/>
          <w:szCs w:val="20"/>
        </w:rPr>
        <w:t xml:space="preserve"> </w:t>
      </w:r>
      <w:r>
        <w:rPr>
          <w:rFonts w:cs="Arial" w:ascii="Arial" w:hAnsi="Arial"/>
          <w:i w:val="false"/>
          <w:iCs w:val="false"/>
          <w:sz w:val="20"/>
          <w:szCs w:val="20"/>
        </w:rPr>
        <w:t>– Tabela de avaliação de casas com consulta ao OMI.</w:t>
      </w:r>
      <w:bookmarkEnd w:id="22"/>
    </w:p>
    <w:tbl>
      <w:tblPr>
        <w:tblW w:w="12700" w:type="dxa"/>
        <w:jc w:val="left"/>
        <w:tblInd w:w="85" w:type="dxa"/>
        <w:tblLayout w:type="fixed"/>
        <w:tblCellMar>
          <w:top w:w="0" w:type="dxa"/>
          <w:left w:w="70" w:type="dxa"/>
          <w:bottom w:w="0" w:type="dxa"/>
          <w:right w:w="70" w:type="dxa"/>
        </w:tblCellMar>
        <w:tblLook w:firstRow="1" w:noVBand="1" w:lastRow="0" w:firstColumn="1" w:lastColumn="0" w:noHBand="0" w:val="04a0"/>
      </w:tblPr>
      <w:tblGrid>
        <w:gridCol w:w="1540"/>
        <w:gridCol w:w="3860"/>
        <w:gridCol w:w="2380"/>
        <w:gridCol w:w="1579"/>
        <w:gridCol w:w="1682"/>
        <w:gridCol w:w="1658"/>
      </w:tblGrid>
      <w:tr>
        <w:trPr>
          <w:trHeight w:val="492" w:hRule="atLeast"/>
        </w:trPr>
        <w:tc>
          <w:tcPr>
            <w:tcW w:w="1540" w:type="dxa"/>
            <w:tcBorders>
              <w:top w:val="single" w:sz="12" w:space="0" w:color="000000"/>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b/>
                <w:bCs/>
                <w:color w:val="000000"/>
                <w:sz w:val="22"/>
                <w:szCs w:val="22"/>
              </w:rPr>
            </w:pPr>
            <w:r>
              <w:rPr>
                <w:rFonts w:ascii="Aptos Narrow" w:hAnsi="Aptos Narrow"/>
                <w:b/>
                <w:bCs/>
                <w:color w:val="000000"/>
                <w:sz w:val="22"/>
                <w:szCs w:val="22"/>
              </w:rPr>
              <w:t>IMO</w:t>
            </w:r>
          </w:p>
        </w:tc>
        <w:tc>
          <w:tcPr>
            <w:tcW w:w="3860" w:type="dxa"/>
            <w:tcBorders>
              <w:top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b/>
                <w:bCs/>
                <w:color w:val="000000"/>
                <w:sz w:val="22"/>
                <w:szCs w:val="22"/>
              </w:rPr>
            </w:pPr>
            <w:r>
              <w:rPr>
                <w:rFonts w:ascii="Aptos Narrow" w:hAnsi="Aptos Narrow"/>
                <w:b/>
                <w:bCs/>
                <w:color w:val="000000"/>
                <w:sz w:val="22"/>
                <w:szCs w:val="22"/>
              </w:rPr>
              <w:t>Valor de avaliação Auditor (Va)</w:t>
            </w:r>
          </w:p>
        </w:tc>
        <w:tc>
          <w:tcPr>
            <w:tcW w:w="2380" w:type="dxa"/>
            <w:tcBorders>
              <w:top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b/>
                <w:bCs/>
                <w:color w:val="000000"/>
                <w:sz w:val="22"/>
                <w:szCs w:val="22"/>
              </w:rPr>
            </w:pPr>
            <w:r>
              <w:rPr>
                <w:rFonts w:ascii="Aptos Narrow" w:hAnsi="Aptos Narrow"/>
                <w:b/>
                <w:bCs/>
                <w:color w:val="000000"/>
                <w:sz w:val="22"/>
                <w:szCs w:val="22"/>
              </w:rPr>
              <w:t>OMI (04/05/26)</w:t>
            </w:r>
          </w:p>
        </w:tc>
        <w:tc>
          <w:tcPr>
            <w:tcW w:w="1579" w:type="dxa"/>
            <w:tcBorders>
              <w:top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b/>
                <w:bCs/>
                <w:color w:val="000000"/>
                <w:sz w:val="22"/>
                <w:szCs w:val="22"/>
              </w:rPr>
            </w:pPr>
            <w:r>
              <w:rPr>
                <w:rFonts w:ascii="Aptos Narrow" w:hAnsi="Aptos Narrow"/>
                <w:b/>
                <w:bCs/>
                <w:color w:val="000000"/>
                <w:sz w:val="22"/>
                <w:szCs w:val="22"/>
              </w:rPr>
              <w:t>resíduos</w:t>
            </w:r>
          </w:p>
        </w:tc>
        <w:tc>
          <w:tcPr>
            <w:tcW w:w="1682" w:type="dxa"/>
            <w:tcBorders>
              <w:top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b/>
                <w:bCs/>
                <w:color w:val="000000"/>
                <w:sz w:val="22"/>
                <w:szCs w:val="22"/>
              </w:rPr>
            </w:pPr>
            <w:r>
              <w:rPr>
                <w:rFonts w:ascii="Aptos Narrow" w:hAnsi="Aptos Narrow"/>
                <w:b/>
                <w:bCs/>
                <w:color w:val="000000"/>
                <w:sz w:val="22"/>
                <w:szCs w:val="22"/>
              </w:rPr>
              <w:t>z_score</w:t>
            </w:r>
          </w:p>
        </w:tc>
        <w:tc>
          <w:tcPr>
            <w:tcW w:w="1658" w:type="dxa"/>
            <w:tcBorders>
              <w:top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b/>
                <w:bCs/>
                <w:color w:val="000000"/>
                <w:sz w:val="22"/>
                <w:szCs w:val="22"/>
              </w:rPr>
            </w:pPr>
            <w:r>
              <w:rPr>
                <w:rFonts w:ascii="Aptos Narrow" w:hAnsi="Aptos Narrow"/>
                <w:b/>
                <w:bCs/>
                <w:color w:val="000000"/>
                <w:sz w:val="22"/>
                <w:szCs w:val="22"/>
              </w:rPr>
              <w:t>residuos_perc</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065067-6</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230480,00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469662,32</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-239182,32</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-0,141562908</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103,7757376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384791-8</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217901,27</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2098,73</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0,070698007</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-0,953968182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168366-7</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170050,60</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19949,40</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0,086401684</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-10,49968421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007854-9</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1000000,00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1817796,56</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-817796,56</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-0,650584183</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81,779656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330544-9</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124747,04</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184211,87</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-59464,83</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0,016539019</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47,66832944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058608-1</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550000,00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1063816,34</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-513816,34</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-0,383165256</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93,42115273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51475-6</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353485,17</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582766,92</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-229281,75</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-0,132853131</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64,8631879</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095476-4</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281051,78</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-81051,78</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-0,002451556</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40,52589</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384981-3</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157746,83</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208666,87</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-50920,04</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0,024056082</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32,27959636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024963-7</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497358,48</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-217358,48</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-0,122363935</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77,62802857</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125068-0</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750000,00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959097,79</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-209097,79</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-0,115096801</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27,87970533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039398-3</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277623,22</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-77623,22</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0,000564634</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38,81161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352205-9</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103645,46</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26354,54</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0,092036444</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-20,27272308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311120-2</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2710600,00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1909401,84</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801198,16</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0,773685565</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-29,55796355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189955-4</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220400,00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178917,09</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41482,91</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0,105345246</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-18,82164701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013679-4</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260643,41</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-10643,41</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0,059488431</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4,257364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088990-3</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337268,16</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488968,26</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-151700,10</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-0,064602632</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44,9790754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145988-1</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180921,45</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324261,00</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-143339,55</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-0,057247649</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79,22750453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414669-7</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400000,00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353455,34</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46544,66</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0,109798193</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-11,636165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044451-1</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4500000,00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6957397,78</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-2457397,78</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-2,09298198</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54,60883956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169257-7</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225971,98</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-75971,98</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0,00201727</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50,64798667</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414140-7</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490000,00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409569,28</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80430,72</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0,139608599</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-16,41443265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078128-2</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315000,00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637750,84</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-322750,84</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-0,215080204</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102,4605841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183023-6</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720403,48</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-520403,48</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-0,388960126</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260,20174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386958-0</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1312000,00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242957,96</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1069042,04</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1,009314459</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-81,4818628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243296-0</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595300,00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318007,76</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277292,24</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0,312792553</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-46,58025197</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253889-0</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128920,00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343337,38</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-214417,38</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-0,119776577</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166,3181663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088181-3</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105585,52</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321564,71</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-215979,19</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-0,121150539</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204,5537968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314969-2</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937170,00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678929,77</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258240,23</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0,296032028</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-27,55532401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043189-3</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5090019,10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5997676,28</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-907657,18</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-0,729636796</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17,83209772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257871-9</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264734,64</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331089,31</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-66354,67</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0,010477856</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25,06459676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048678-7</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241243,07</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-41243,07</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0,032569152</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20,621535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064420-0</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162709,74</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304915,44</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-142205,70</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-0,056250173</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87,39839422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369094-6</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856000,00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531422,75</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324577,25</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0,354390347</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-37,91790304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432770-5</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682000,00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392163,43</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289836,57</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0,323828111</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-42,49803079</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220871-7</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200635,20</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49364,80</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0,11227914</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-19,74592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093640-5</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167973,77</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251290,16</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-83316,39</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-0,004443789</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49,60083351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399286-1</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169000,00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160489,01</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8510,99</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0,076339031</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-5,036088757</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348017-8</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1845900,00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1372397,42</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473502,58</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0,485403648</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-25,65158351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335917-4</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3934980,00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2650364,43</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1284615,57</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1,198959832</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-32,64605081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307452-8</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3000000,00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1242982,82</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1757017,18</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1,614543226</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-58,56723933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042179-1</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254357,11</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-4357,11</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0,065018645</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1,742844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347857-2</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1000000,00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771761,71</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228238,29</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0,269638578</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-22,823829</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363932-1</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667350,00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657307,56</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10042,44</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0,077686286</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-1,504823556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188462-0</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492579,77</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1201058,27</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-708478,50</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-0,554414379</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143,8302064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118398-2</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171330,09</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314077,12</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-142747,03</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-0,056726395</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83,31696435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291754-8</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143504,21</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203239,12</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-59734,91</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0,016301423</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41,62589376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414136-9</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398000,00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339324,84</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58675,16</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0,120469694</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-14,74250251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073013-1</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593803,71</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988694,85</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-394891,14</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-0,278543812</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66,50196578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103936-9</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226638,69</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582279,13</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-355640,44</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-0,244014</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156,9195621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093122-5</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93942,13</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235770,82</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-141828,69</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-0,055918508</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150,9745308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065827-8</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1086732,67</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1972490,67</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-885758,00</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-0,710371545</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81,50652175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159898-8</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342639,16</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7360,84</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0,075327216</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-2,103097143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065189-3</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165301,24</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281224,05</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-115922,81</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-0,033128464</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70,12821561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311141-5</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4500000,00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2445123,46</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2054876,54</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1,876577482</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-45,66392311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292888-4</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156408,85</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23591,15</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0,089605421</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-13,10619444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185845-9</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127821,82</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196664,57</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-68842,75</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0,00828903</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53,85837097</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345851-2</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234727,83</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174168,12</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60559,71</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0,122127579</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-25,79997012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064927-9</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450000,00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569629,99</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-119629,99</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-0,036389762</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26,58444222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1634178</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2534761,00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1528993,61</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1005767,39</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0,953650182</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-39,67898315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4062337</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180700,00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125237,33</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55462,67</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0,117643587</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-30,69323188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131521</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121921,00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273668,35</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-151747,35</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-0,064644199</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124,4636691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4325061</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1200000,00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1065549,80</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134450,20</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0,187130873</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-11,20418333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409758</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163517,00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205200,56</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-41683,56</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0,032181642</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25,49188158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006307-0</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5968594,57</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4669511,05</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1299083,52</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1,211687646</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-21,76531686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412422-7</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660764,00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756638,46</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-95874,46</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-0,015491434</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14,50963733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116678-6</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1500000,00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1124732,44</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375267,56</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0,398983868</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-25,01783733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322590-9</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2478719,34</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1741484,65</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737234,69</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0,717415316</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-29,74256416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100400-0</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950101,54</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919980,98</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30120,56</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0,095349505</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-3,170246414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061421-1</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6201453,26</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17078461,10</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-10877007,84</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-9,499921452</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175,3944984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350308-9</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600000,00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662685,62</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-62685,62</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0,01370561</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10,44760333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173663-9</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225700,00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311249,79</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-85549,79</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-0,006408566</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37,9042047</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038711-8</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213000,00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272242,21</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-59242,21</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0,016734863</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27,81324413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020125-1</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176000,00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170945,07</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5054,93</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0,07329865</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-2,872119318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091600-5</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301532,87</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-61532,87</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0,014719713</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25,63869583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272635-1</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187000,00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299823,23</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-112823,23</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-0,030401687</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60,33327807</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299079-2</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450000,00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166697,65</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283302,35</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0,318079795</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-62,95607778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092718-0</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235000,00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231571,58</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3428,42</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0,071867768</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-1,458902128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253552-1</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288600,00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440315,34</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-151715,34</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-0,064616039</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52,56941788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164549-8</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339922,44</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-89922,44</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-0,010255295</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35,968976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426007-4</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185000,00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98230,28</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86769,72</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0,145185174</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-46,90255135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350657-6</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248500,00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204419,78</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44080,22</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0,107630164</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-17,73851911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328810-2</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343000,00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220406,95</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122593,05</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0,176699844</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-35,74141399</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028363-1</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306952,24</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13047,76</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0,08033014</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-4,077425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018650-3</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340950,44</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-90950,44</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-0,011159652</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36,380176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330440-0</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309555,12</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-59555,12</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0,016459589</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23,822048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309303-4</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140764,93</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182202,20</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-41437,27</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0,03239831</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29,43721138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340175-8</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193000,00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180026,87</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12973,13</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0,080264486</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-6,721829016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382726-7</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217526,67</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32473,33</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0,097419295</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-12,989332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371283-4</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1100000,00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929382,79</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170617,21</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0,218947887</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-15,51065545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176639-2</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410211,65</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465491,63</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-55279,98</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0,020220535</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13,47596539</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019986-9</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206637,55</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43362,45</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0,106998724</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-17,34498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102621-6</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542858,58</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535224,01</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7634,57</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0,075568023</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-1,406364435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168964-9</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294883,55</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-44883,55</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0,029366532</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17,95342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169897-4</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195000,00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250278,86</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-55278,86</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0,02022152</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28,34813333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016130-6</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450000,00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319532,65</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130467,35</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0,183627061</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-28,99274444</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311011-7</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2250000,00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2353651,78</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-103651,78</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-0,022333335</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4,606745778</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147124-4</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500000,00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580252,76</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-80252,76</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-0,001748638</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16,050552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387418-4</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150702,14</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187232,29</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-36530,15</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0,036715225</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24,23996766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414105-9</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398000,00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339324,84</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58675,16</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0,120469694</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-14,74250251</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433194-0</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179245,26</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70754,74</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0,131096399</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-28,301896</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048326-5</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415476,20</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-145476,20</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-0,059127313</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53,88007407</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414386-8</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355000,00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353455,34</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1544,66</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0,070210578</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-0,435115493</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165558-2</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246781,55</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-56781,55</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0,018899567</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29,88502632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149508-9</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205000,00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344199,10</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-139199,10</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-0,053605193</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67,902</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061794-6</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368195,69</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611591,69</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-243396,00</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-0,145269786</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66,10506495</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432772-1</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682000,00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392163,43</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289836,57</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0,323828111</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-42,49803079</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136767-6</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836000,00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607769,88</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228230,12</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0,269631391</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-27,30025359</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436829-1</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782000,00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474883,77</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307116,23</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0,339029455</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-39,27317519</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347653-7</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1380000,00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981971,07</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398028,93</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0,419007609</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-28,84267609</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062595-7</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429124,36</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565084,39</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-135960,03</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-0,050755703</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31,68313027</w:t>
            </w:r>
          </w:p>
        </w:tc>
      </w:tr>
      <w:tr>
        <w:trPr>
          <w:trHeight w:val="312" w:hRule="atLeast"/>
        </w:trPr>
        <w:tc>
          <w:tcPr>
            <w:tcW w:w="154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048678-7</w:t>
            </w:r>
          </w:p>
        </w:tc>
        <w:tc>
          <w:tcPr>
            <w:tcW w:w="38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200000,00</w:t>
            </w:r>
          </w:p>
        </w:tc>
        <w:tc>
          <w:tcPr>
            <w:tcW w:w="2380" w:type="dxa"/>
            <w:tcBorders>
              <w:bottom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241243,07</w:t>
            </w:r>
          </w:p>
        </w:tc>
        <w:tc>
          <w:tcPr>
            <w:tcW w:w="157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-41243,07</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0,032569152</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20,621535</w:t>
            </w:r>
          </w:p>
        </w:tc>
      </w:tr>
      <w:tr>
        <w:trPr>
          <w:trHeight w:val="312" w:hRule="atLeast"/>
        </w:trPr>
        <w:tc>
          <w:tcPr>
            <w:tcW w:w="1540" w:type="dxa"/>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r>
          </w:p>
        </w:tc>
        <w:tc>
          <w:tcPr>
            <w:tcW w:w="3860" w:type="dxa"/>
            <w:tcBorders/>
            <w:vAlign w:val="center"/>
          </w:tcPr>
          <w:p>
            <w:pPr>
              <w:pStyle w:val="Normal"/>
              <w:suppressAutoHyphens w:val="false"/>
              <w:spacing w:lineRule="auto" w:line="240"/>
              <w:ind w:hanging="0"/>
              <w:jc w:val="center"/>
              <w:rPr>
                <w:rFonts w:ascii="Times New Roman" w:hAnsi="Times New Roman"/>
                <w:sz w:val="20"/>
                <w:szCs w:val="20"/>
              </w:rPr>
            </w:pPr>
            <w:r>
              <w:rPr>
                <w:rFonts w:ascii="Times New Roman" w:hAnsi="Times New Roman"/>
                <w:sz w:val="20"/>
                <w:szCs w:val="20"/>
              </w:rPr>
            </w:r>
          </w:p>
        </w:tc>
        <w:tc>
          <w:tcPr>
            <w:tcW w:w="238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left"/>
              <w:rPr>
                <w:rFonts w:ascii="Aptos Narrow" w:hAnsi="Aptos Narrow"/>
                <w:b/>
                <w:bCs/>
                <w:color w:val="000000"/>
                <w:sz w:val="22"/>
                <w:szCs w:val="22"/>
              </w:rPr>
            </w:pPr>
            <w:r>
              <w:rPr>
                <w:rFonts w:ascii="Aptos Narrow" w:hAnsi="Aptos Narrow"/>
                <w:b/>
                <w:bCs/>
                <w:color w:val="000000"/>
                <w:sz w:val="22"/>
                <w:szCs w:val="22"/>
              </w:rPr>
              <w:t>MÉDIA</w:t>
            </w:r>
          </w:p>
        </w:tc>
        <w:tc>
          <w:tcPr>
            <w:tcW w:w="157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-78265,04982</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-2,57111E-17</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22,31572301</w:t>
            </w:r>
          </w:p>
        </w:tc>
      </w:tr>
      <w:tr>
        <w:trPr>
          <w:trHeight w:val="312" w:hRule="atLeast"/>
        </w:trPr>
        <w:tc>
          <w:tcPr>
            <w:tcW w:w="1540" w:type="dxa"/>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r>
          </w:p>
        </w:tc>
        <w:tc>
          <w:tcPr>
            <w:tcW w:w="3860" w:type="dxa"/>
            <w:tcBorders/>
            <w:vAlign w:val="center"/>
          </w:tcPr>
          <w:p>
            <w:pPr>
              <w:pStyle w:val="Normal"/>
              <w:suppressAutoHyphens w:val="false"/>
              <w:spacing w:lineRule="auto" w:line="240"/>
              <w:ind w:hanging="0"/>
              <w:jc w:val="center"/>
              <w:rPr>
                <w:rFonts w:ascii="Times New Roman" w:hAnsi="Times New Roman"/>
                <w:sz w:val="20"/>
                <w:szCs w:val="20"/>
              </w:rPr>
            </w:pPr>
            <w:r>
              <w:rPr>
                <w:rFonts w:ascii="Times New Roman" w:hAnsi="Times New Roman"/>
                <w:sz w:val="20"/>
                <w:szCs w:val="20"/>
              </w:rPr>
            </w:r>
          </w:p>
        </w:tc>
        <w:tc>
          <w:tcPr>
            <w:tcW w:w="238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left"/>
              <w:rPr>
                <w:rFonts w:ascii="Aptos Narrow" w:hAnsi="Aptos Narrow"/>
                <w:b/>
                <w:bCs/>
                <w:color w:val="000000"/>
                <w:sz w:val="22"/>
                <w:szCs w:val="22"/>
              </w:rPr>
            </w:pPr>
            <w:r>
              <w:rPr>
                <w:rFonts w:ascii="Aptos Narrow" w:hAnsi="Aptos Narrow"/>
                <w:b/>
                <w:bCs/>
                <w:color w:val="000000"/>
                <w:sz w:val="22"/>
                <w:szCs w:val="22"/>
              </w:rPr>
              <w:t>DESVIO PADRÃO</w:t>
            </w:r>
          </w:p>
        </w:tc>
        <w:tc>
          <w:tcPr>
            <w:tcW w:w="157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1136719,166</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58,38595259</w:t>
            </w:r>
          </w:p>
        </w:tc>
      </w:tr>
      <w:tr>
        <w:trPr>
          <w:trHeight w:val="312" w:hRule="atLeast"/>
        </w:trPr>
        <w:tc>
          <w:tcPr>
            <w:tcW w:w="1540" w:type="dxa"/>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r>
          </w:p>
        </w:tc>
        <w:tc>
          <w:tcPr>
            <w:tcW w:w="3860" w:type="dxa"/>
            <w:tcBorders/>
            <w:vAlign w:val="center"/>
          </w:tcPr>
          <w:p>
            <w:pPr>
              <w:pStyle w:val="Normal"/>
              <w:suppressAutoHyphens w:val="false"/>
              <w:spacing w:lineRule="auto" w:line="240"/>
              <w:ind w:hanging="0"/>
              <w:jc w:val="center"/>
              <w:rPr>
                <w:rFonts w:ascii="Times New Roman" w:hAnsi="Times New Roman"/>
                <w:sz w:val="20"/>
                <w:szCs w:val="20"/>
              </w:rPr>
            </w:pPr>
            <w:r>
              <w:rPr>
                <w:rFonts w:ascii="Times New Roman" w:hAnsi="Times New Roman"/>
                <w:sz w:val="20"/>
                <w:szCs w:val="20"/>
              </w:rPr>
            </w:r>
          </w:p>
        </w:tc>
        <w:tc>
          <w:tcPr>
            <w:tcW w:w="2380"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left"/>
              <w:rPr>
                <w:rFonts w:ascii="Aptos Narrow" w:hAnsi="Aptos Narrow"/>
                <w:b/>
                <w:bCs/>
                <w:color w:val="000000"/>
                <w:sz w:val="22"/>
                <w:szCs w:val="22"/>
              </w:rPr>
            </w:pPr>
            <w:r>
              <w:rPr>
                <w:rFonts w:ascii="Aptos Narrow" w:hAnsi="Aptos Narrow"/>
                <w:b/>
                <w:bCs/>
                <w:color w:val="000000"/>
                <w:sz w:val="22"/>
                <w:szCs w:val="22"/>
              </w:rPr>
              <w:t>MEDIANA</w:t>
            </w:r>
          </w:p>
        </w:tc>
        <w:tc>
          <w:tcPr>
            <w:tcW w:w="157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-41340,17</w:t>
            </w:r>
          </w:p>
        </w:tc>
        <w:tc>
          <w:tcPr>
            <w:tcW w:w="1682"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0,032483731</w:t>
            </w:r>
          </w:p>
        </w:tc>
        <w:tc>
          <w:tcPr>
            <w:tcW w:w="1658"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13,99280136</w:t>
            </w:r>
          </w:p>
        </w:tc>
      </w:tr>
    </w:tbl>
    <w:p>
      <w:pPr>
        <w:sectPr>
          <w:headerReference w:type="default" r:id="rId10"/>
          <w:headerReference w:type="first" r:id="rId11"/>
          <w:footerReference w:type="default" r:id="rId12"/>
          <w:footerReference w:type="first" r:id="rId13"/>
          <w:type w:val="nextPage"/>
          <w:pgSz w:orient="landscape" w:w="16838" w:h="11906"/>
          <w:pgMar w:left="1134" w:right="1701" w:gutter="0" w:header="709" w:top="1701" w:footer="709" w:bottom="1134"/>
          <w:pgNumType w:fmt="decimal"/>
          <w:formProt w:val="false"/>
          <w:titlePg/>
          <w:textDirection w:val="lrTb"/>
          <w:docGrid w:type="default" w:linePitch="360" w:charSpace="0"/>
        </w:sectPr>
        <w:pStyle w:val="Normal"/>
        <w:ind w:firstLine="1134"/>
        <w:rPr>
          <w:rFonts w:cs="Arial"/>
        </w:rPr>
      </w:pPr>
      <w:r>
        <w:rPr>
          <w:rFonts w:cs="Arial"/>
        </w:rPr>
      </w:r>
    </w:p>
    <w:p>
      <w:pPr>
        <w:pStyle w:val="BodyText"/>
        <w:spacing w:lineRule="auto" w:line="360"/>
        <w:ind w:hanging="0"/>
        <w:jc w:val="both"/>
        <w:rPr/>
      </w:pPr>
      <w:r>
        <w:rPr/>
        <w:tab/>
        <w:t xml:space="preserve">A </w:t>
      </w:r>
      <w:r>
        <w:rPr/>
        <w:fldChar w:fldCharType="begin"/>
      </w:r>
      <w:r>
        <w:rPr/>
        <w:instrText xml:space="preserve"> REF Ref_Figura5_label_and_number \h </w:instrText>
      </w:r>
      <w:r>
        <w:rPr/>
        <w:fldChar w:fldCharType="separate"/>
      </w:r>
      <w:r>
        <w:rPr/>
        <w:t>Figura 5</w:t>
      </w:r>
      <w:r>
        <w:rPr/>
        <w:fldChar w:fldCharType="end"/>
      </w:r>
      <w:r>
        <w:rPr/>
        <w:t xml:space="preserve"> apresenta a relação entre os valores de avaliação informados pelos auditores e os valores estimados pelo OMI para a tipologia de casas, considerando as amostras analisadas na data de 04/05/2026. Observa-se, por meio do gráfico de dispersão, tendência linear positiva entre as variáveis, indicando que, à medida que os valores das avaliações dos auditores aumentam, os valores estimados pelo OMI acompanham proporcionalmente esse crescimento.</w:t>
      </w:r>
    </w:p>
    <w:p>
      <w:pPr>
        <w:pStyle w:val="BodyText"/>
        <w:rPr/>
      </w:pPr>
      <w:r>
        <w:rPr/>
        <w:t>A linha de tendência ajustada demonstra coeficiente angular superior à unidade, sugerindo que o modelo tende a responder de forma mais acentuada em determinados intervalos de valor. O coeficiente de determinação (R² = 0,6519) evidencia correlação moderada entre os dados comparados, indicando que parcela significativa da variação observada nos valores do OMI pode ser explicada pelas avaliações realizadas pelos auditores.</w:t>
      </w:r>
    </w:p>
    <w:p>
      <w:pPr>
        <w:pStyle w:val="BodyText"/>
        <w:rPr/>
      </w:pPr>
      <w:r>
        <w:rPr/>
        <w:t>Nota-se também maior concentração das amostras em faixas de menor valor, enquanto os imóveis de maior valor apresentam dispersão mais elevada em relação à linha de tendência. Tal comportamento sugere aumento da variabilidade para imóveis de padrão superior ou características específicas, situação comum em modelos de avaliação em massa, nos quais fatores construtivos, padrão de acabamento, localização privilegiada e particularidades individuais podem influenciar significativamente o resultado final das estimativas.</w:t>
      </w:r>
    </w:p>
    <w:p>
      <w:pPr>
        <w:pStyle w:val="BodyText"/>
        <w:rPr/>
      </w:pPr>
      <w:r>
        <w:rPr/>
        <w:t xml:space="preserve">De forma geral, a distribuição observada na </w:t>
      </w:r>
      <w:r>
        <w:rPr/>
        <w:fldChar w:fldCharType="begin"/>
      </w:r>
      <w:r>
        <w:rPr/>
        <w:instrText xml:space="preserve"> REF Ref_Figura5_label_and_number \h </w:instrText>
      </w:r>
      <w:r>
        <w:rPr/>
        <w:fldChar w:fldCharType="separate"/>
      </w:r>
      <w:r>
        <w:rPr/>
        <w:t>Figura 5</w:t>
      </w:r>
      <w:r>
        <w:rPr/>
        <w:fldChar w:fldCharType="end"/>
      </w:r>
      <w:r>
        <w:rPr/>
        <w:t xml:space="preserve"> demonstra aderência satisfatória entre os valores comparados, indicando consistência do modelo para a tipologia analisada, ainda que existam casos pontuais de maior discrepância associados às amostras de maior valor de mercado.</w:t>
      </w:r>
    </w:p>
    <w:p>
      <w:pPr>
        <w:pStyle w:val="Normal"/>
        <w:spacing w:lineRule="auto" w:line="240"/>
        <w:ind w:hanging="0"/>
        <w:jc w:val="both"/>
        <w:rPr/>
      </w:pPr>
      <w:r>
        <w:rPr/>
      </w:r>
    </w:p>
    <w:p>
      <w:pPr>
        <w:pStyle w:val="Normal"/>
        <w:spacing w:lineRule="auto" w:line="240"/>
        <w:ind w:hanging="0"/>
        <w:jc w:val="center"/>
        <w:rPr>
          <w:rFonts w:cs="Arial"/>
        </w:rPr>
      </w:pPr>
      <w:r>
        <w:rPr/>
      </w:r>
    </w:p>
    <w:p>
      <w:pPr>
        <w:pStyle w:val="Normal"/>
        <w:spacing w:lineRule="auto" w:line="240"/>
        <w:ind w:hanging="0"/>
        <w:jc w:val="center"/>
        <w:rPr>
          <w:rFonts w:cs="Arial"/>
        </w:rPr>
      </w:pPr>
      <w:r>
        <w:rPr/>
      </w:r>
    </w:p>
    <w:p>
      <w:pPr>
        <w:pStyle w:val="Normal"/>
        <w:spacing w:lineRule="auto" w:line="240"/>
        <w:ind w:hanging="0"/>
        <w:jc w:val="center"/>
        <w:rPr>
          <w:rFonts w:cs="Arial"/>
        </w:rPr>
      </w:pPr>
      <w:r>
        <w:rPr/>
      </w:r>
    </w:p>
    <w:p>
      <w:pPr>
        <w:pStyle w:val="Normal"/>
        <w:spacing w:lineRule="auto" w:line="240"/>
        <w:ind w:hanging="0"/>
        <w:jc w:val="center"/>
        <w:rPr>
          <w:rFonts w:cs="Arial"/>
        </w:rPr>
      </w:pPr>
      <w:r>
        <w:rPr/>
      </w:r>
    </w:p>
    <w:p>
      <w:pPr>
        <w:pStyle w:val="Normal"/>
        <w:spacing w:lineRule="auto" w:line="240"/>
        <w:ind w:hanging="0"/>
        <w:jc w:val="center"/>
        <w:rPr>
          <w:rFonts w:cs="Arial"/>
        </w:rPr>
      </w:pPr>
      <w:r>
        <w:rPr/>
      </w:r>
    </w:p>
    <w:p>
      <w:pPr>
        <w:pStyle w:val="Normal"/>
        <w:spacing w:lineRule="auto" w:line="240"/>
        <w:ind w:hanging="0"/>
        <w:jc w:val="center"/>
        <w:rPr>
          <w:rFonts w:cs="Arial"/>
        </w:rPr>
      </w:pPr>
      <w:r>
        <w:rPr/>
      </w:r>
    </w:p>
    <w:p>
      <w:pPr>
        <w:pStyle w:val="Normal"/>
        <w:spacing w:lineRule="auto" w:line="240"/>
        <w:ind w:hanging="0"/>
        <w:jc w:val="center"/>
        <w:rPr>
          <w:rFonts w:cs="Arial"/>
        </w:rPr>
      </w:pPr>
      <w:bookmarkStart w:id="24" w:name="_Toc230704344"/>
      <w:bookmarkStart w:id="25" w:name="_Ref230695924"/>
      <w:bookmarkStart w:id="26" w:name="Ref_Figura5_label_and_number"/>
      <w:r>
        <w:rPr>
          <w:rFonts w:cs="Arial"/>
          <w:sz w:val="20"/>
          <w:szCs w:val="20"/>
        </w:rPr>
        <w:t xml:space="preserve">Figura </w:t>
      </w:r>
      <w:r>
        <w:rPr>
          <w:rFonts w:cs="Arial"/>
          <w:sz w:val="20"/>
          <w:szCs w:val="20"/>
        </w:rPr>
        <w:fldChar w:fldCharType="begin"/>
      </w:r>
      <w:r>
        <w:rPr>
          <w:sz w:val="20"/>
          <w:szCs w:val="20"/>
          <w:rFonts w:cs="Arial"/>
        </w:rPr>
        <w:instrText xml:space="preserve"> SEQ Figura \* ARABIC </w:instrText>
      </w:r>
      <w:r>
        <w:rPr>
          <w:sz w:val="20"/>
          <w:szCs w:val="20"/>
          <w:rFonts w:cs="Arial"/>
        </w:rPr>
        <w:fldChar w:fldCharType="separate"/>
      </w:r>
      <w:r>
        <w:rPr>
          <w:sz w:val="20"/>
          <w:szCs w:val="20"/>
          <w:rFonts w:cs="Arial"/>
        </w:rPr>
        <w:t>5</w:t>
      </w:r>
      <w:r>
        <w:rPr>
          <w:sz w:val="20"/>
          <w:szCs w:val="20"/>
          <w:rFonts w:cs="Arial"/>
        </w:rPr>
        <w:fldChar w:fldCharType="end"/>
      </w:r>
      <w:bookmarkEnd w:id="26"/>
      <w:bookmarkEnd w:id="25"/>
      <w:r>
        <w:rPr>
          <w:rFonts w:cs="Arial"/>
          <w:sz w:val="20"/>
          <w:szCs w:val="20"/>
        </w:rPr>
        <w:t xml:space="preserve"> </w:t>
      </w:r>
      <w:r>
        <w:rPr>
          <w:rFonts w:cs="Arial"/>
          <w:sz w:val="20"/>
          <w:szCs w:val="20"/>
        </w:rPr>
        <w:t>– Avaliação do auditor x OMI após ajuste de CUB para casas.</w:t>
      </w:r>
      <w:bookmarkEnd w:id="24"/>
    </w:p>
    <w:p>
      <w:pPr>
        <w:pStyle w:val="Normal"/>
        <w:ind w:hanging="0"/>
        <w:jc w:val="center"/>
        <w:rPr>
          <w:rFonts w:cs="Arial"/>
        </w:rPr>
      </w:pPr>
      <w:r>
        <w:rPr/>
        <w:drawing>
          <wp:inline distT="0" distB="0" distL="0" distR="0">
            <wp:extent cx="5760085" cy="3001645"/>
            <wp:effectExtent l="0" t="0" r="0" b="0"/>
            <wp:docPr id="21" name="Objeto3" descr="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Normal"/>
        <w:ind w:firstLine="1134"/>
        <w:rPr/>
      </w:pPr>
      <w:r>
        <w:rPr/>
      </w:r>
    </w:p>
    <w:p>
      <w:pPr>
        <w:pStyle w:val="Normal"/>
        <w:rPr/>
      </w:pPr>
      <w:r>
        <w:rPr/>
        <w:t xml:space="preserve">Em relação aos resíduos entre os valores do OMI e as avaliações realizadas pelos auditores, procedeu-se à elaboração do histograma apresentado na </w:t>
      </w:r>
      <w:r>
        <w:rPr/>
        <w:fldChar w:fldCharType="begin"/>
      </w:r>
      <w:r>
        <w:rPr/>
        <w:instrText xml:space="preserve"> REF Ref_Figura6_label_and_number \h </w:instrText>
      </w:r>
      <w:r>
        <w:rPr/>
        <w:fldChar w:fldCharType="separate"/>
      </w:r>
      <w:r>
        <w:rPr/>
        <w:t>Figura 6</w:t>
      </w:r>
      <w:r>
        <w:rPr/>
        <w:fldChar w:fldCharType="end"/>
      </w:r>
      <w:r>
        <w:rPr/>
        <w:t>. A distribuição dos resíduos percentuais evidencia predominância de valores concentrados nas menores faixas residuais, especialmente entre 0% e aproximadamente 40%, indicando maior aderência entre os valores de referência do OMI e os valores observados nas avaliações. Observa-se, contudo, a presença de alguns resíduos mais elevados, classificados como valores discrepantes, destacando-se casos superiores a +150% e um caso extremo próximo de +250%, representados em cores quentes no histograma.</w:t>
      </w:r>
    </w:p>
    <w:p>
      <w:pPr>
        <w:pStyle w:val="Normal"/>
        <w:rPr/>
      </w:pPr>
      <w:r>
        <w:rPr/>
        <w:t>Sob a perspectiva estatística, verifica-se que a maior parte da amostra apresenta comportamento relativamente homogêneo, com concentração significativa dos dados nas classes iniciais do histograma, o que demonstra compatibilidade satisfatória do OMI enquanto ferramenta orientativa de avaliação. Os casos extremos identificados representam ocorrências pontuais e não comprometem o comportamento geral do conjunto analisado, sobretudo considerando a natureza generalista do OMI e as particularidades inerentes ao mercado imobiliário local.</w:t>
      </w:r>
    </w:p>
    <w:p>
      <w:pPr>
        <w:pStyle w:val="Normal"/>
        <w:jc w:val="center"/>
        <w:rPr/>
      </w:pPr>
      <w:r>
        <w:rPr/>
      </w:r>
    </w:p>
    <w:p>
      <w:pPr>
        <w:pStyle w:val="Normal"/>
        <w:spacing w:lineRule="auto" w:line="240"/>
        <w:ind w:hanging="0"/>
        <w:jc w:val="center"/>
        <w:rPr/>
      </w:pPr>
      <w:bookmarkStart w:id="27" w:name="_Toc230704345"/>
      <w:bookmarkStart w:id="28" w:name="Ref_Figura6_label_and_number"/>
      <w:r>
        <w:rPr>
          <w:rFonts w:cs="Arial"/>
          <w:sz w:val="20"/>
          <w:szCs w:val="20"/>
        </w:rPr>
        <w:t xml:space="preserve">Figura </w:t>
      </w:r>
      <w:r>
        <w:rPr>
          <w:rFonts w:cs="Arial"/>
          <w:sz w:val="20"/>
          <w:szCs w:val="20"/>
        </w:rPr>
        <w:fldChar w:fldCharType="begin"/>
      </w:r>
      <w:r>
        <w:rPr>
          <w:sz w:val="20"/>
          <w:szCs w:val="20"/>
          <w:rFonts w:cs="Arial"/>
        </w:rPr>
        <w:instrText xml:space="preserve"> SEQ Figura \* ARABIC </w:instrText>
      </w:r>
      <w:r>
        <w:rPr>
          <w:sz w:val="20"/>
          <w:szCs w:val="20"/>
          <w:rFonts w:cs="Arial"/>
        </w:rPr>
        <w:fldChar w:fldCharType="separate"/>
      </w:r>
      <w:r>
        <w:rPr>
          <w:sz w:val="20"/>
          <w:szCs w:val="20"/>
          <w:rFonts w:cs="Arial"/>
        </w:rPr>
        <w:t>6</w:t>
      </w:r>
      <w:r>
        <w:rPr>
          <w:sz w:val="20"/>
          <w:szCs w:val="20"/>
          <w:rFonts w:cs="Arial"/>
        </w:rPr>
        <w:fldChar w:fldCharType="end"/>
      </w:r>
      <w:bookmarkEnd w:id="28"/>
      <w:r>
        <w:rPr>
          <w:rFonts w:cs="Arial"/>
          <w:sz w:val="20"/>
          <w:szCs w:val="20"/>
        </w:rPr>
        <w:t xml:space="preserve"> </w:t>
      </w:r>
      <w:r>
        <w:rPr>
          <w:rFonts w:cs="Arial"/>
          <w:sz w:val="20"/>
          <w:szCs w:val="20"/>
        </w:rPr>
        <w:t>– Histograma dos resíduos percentuais para casas.</w:t>
      </w:r>
      <w:bookmarkEnd w:id="27"/>
    </w:p>
    <w:p>
      <w:pPr>
        <w:pStyle w:val="Normal"/>
        <w:ind w:hanging="0"/>
        <w:jc w:val="center"/>
        <w:rPr/>
      </w:pPr>
      <w:r>
        <w:rPr/>
        <w:drawing>
          <wp:inline distT="0" distB="0" distL="0" distR="0">
            <wp:extent cx="4077335" cy="1227455"/>
            <wp:effectExtent l="0" t="0" r="0" b="0"/>
            <wp:docPr id="22"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3" descr=""/>
                    <pic:cNvPicPr>
                      <a:picLocks noChangeAspect="1" noChangeArrowheads="1"/>
                    </pic:cNvPicPr>
                  </pic:nvPicPr>
                  <pic:blipFill>
                    <a:blip r:embed="rId15"/>
                    <a:stretch>
                      <a:fillRect/>
                    </a:stretch>
                  </pic:blipFill>
                  <pic:spPr bwMode="auto">
                    <a:xfrm>
                      <a:off x="0" y="0"/>
                      <a:ext cx="4077335" cy="1227455"/>
                    </a:xfrm>
                    <a:prstGeom prst="rect">
                      <a:avLst/>
                    </a:prstGeom>
                  </pic:spPr>
                </pic:pic>
              </a:graphicData>
            </a:graphic>
          </wp:inline>
        </w:drawing>
      </w:r>
    </w:p>
    <w:p>
      <w:pPr>
        <w:pStyle w:val="Normal"/>
        <w:rPr/>
      </w:pPr>
      <w:r>
        <w:rPr/>
      </w:r>
    </w:p>
    <w:p>
      <w:pPr>
        <w:pStyle w:val="Normal"/>
        <w:ind w:firstLine="1134"/>
        <w:rPr/>
      </w:pPr>
      <w:r>
        <w:rPr/>
        <w:t xml:space="preserve">Complementarmente, a análise espacial dos resíduos, apresentada na </w:t>
      </w:r>
      <w:r>
        <w:rPr/>
        <w:fldChar w:fldCharType="begin"/>
      </w:r>
      <w:r>
        <w:rPr/>
        <w:instrText xml:space="preserve"> REF Ref_Figura7_label_and_number \h </w:instrText>
      </w:r>
      <w:r>
        <w:rPr/>
        <w:fldChar w:fldCharType="separate"/>
      </w:r>
      <w:r>
        <w:rPr/>
        <w:t>Figura 7</w:t>
      </w:r>
      <w:r>
        <w:rPr/>
        <w:fldChar w:fldCharType="end"/>
      </w:r>
      <w:r>
        <w:rPr/>
        <w:t>, demonstra distribuição dispersa dos pontos classificados nas diferentes faixas residuais ao longo do território municipal. Observa-se predominância de pontos em branco e azul, distribuídos de forma relativamente aleatória, sem formação de agrupamentos expressivos em setores específicos do município. O caso classificado em cores quentes, correspondentes ao resíduo mais elevado, apresenta ocorrência isolada e pontual, sem caracterizar tendência espacial concentrada.</w:t>
      </w:r>
    </w:p>
    <w:p>
      <w:pPr>
        <w:pStyle w:val="Normal"/>
        <w:ind w:firstLine="1134"/>
        <w:rPr/>
      </w:pPr>
      <w:r>
        <w:rPr/>
      </w:r>
    </w:p>
    <w:p>
      <w:pPr>
        <w:pStyle w:val="Normal"/>
        <w:ind w:firstLine="1134"/>
        <w:rPr/>
      </w:pPr>
      <w:r>
        <w:rPr/>
      </w:r>
    </w:p>
    <w:p>
      <w:pPr>
        <w:pStyle w:val="Normal"/>
        <w:ind w:hanging="0"/>
        <w:jc w:val="center"/>
        <w:rPr/>
      </w:pPr>
      <w:bookmarkStart w:id="29" w:name="_Toc230704346"/>
      <w:bookmarkStart w:id="30" w:name="Ref_Figura7_label_and_number"/>
      <w:r>
        <w:drawing>
          <wp:anchor behindDoc="0" distT="0" distB="0" distL="114300" distR="114300" simplePos="0" locked="0" layoutInCell="0" allowOverlap="1" relativeHeight="264">
            <wp:simplePos x="0" y="0"/>
            <wp:positionH relativeFrom="column">
              <wp:posOffset>944880</wp:posOffset>
            </wp:positionH>
            <wp:positionV relativeFrom="paragraph">
              <wp:posOffset>264795</wp:posOffset>
            </wp:positionV>
            <wp:extent cx="3908425" cy="5527675"/>
            <wp:effectExtent l="0" t="0" r="0" b="0"/>
            <wp:wrapTopAndBottom/>
            <wp:docPr id="23"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4" descr=""/>
                    <pic:cNvPicPr>
                      <a:picLocks noChangeAspect="1" noChangeArrowheads="1"/>
                    </pic:cNvPicPr>
                  </pic:nvPicPr>
                  <pic:blipFill>
                    <a:blip r:embed="rId16"/>
                    <a:stretch>
                      <a:fillRect/>
                    </a:stretch>
                  </pic:blipFill>
                  <pic:spPr bwMode="auto">
                    <a:xfrm>
                      <a:off x="0" y="0"/>
                      <a:ext cx="3908425" cy="5527675"/>
                    </a:xfrm>
                    <a:prstGeom prst="rect">
                      <a:avLst/>
                    </a:prstGeom>
                  </pic:spPr>
                </pic:pic>
              </a:graphicData>
            </a:graphic>
          </wp:anchor>
        </w:drawing>
      </w:r>
      <w:bookmarkStart w:id="31" w:name="Ref_Figura7_label_and_number"/>
      <w:r>
        <w:rPr>
          <w:rFonts w:cs="Arial"/>
          <w:sz w:val="20"/>
          <w:szCs w:val="20"/>
        </w:rPr>
        <w:t xml:space="preserve">Figura </w:t>
      </w:r>
      <w:r>
        <w:rPr>
          <w:rFonts w:cs="Arial"/>
          <w:sz w:val="20"/>
          <w:szCs w:val="20"/>
        </w:rPr>
        <w:fldChar w:fldCharType="begin"/>
      </w:r>
      <w:r>
        <w:rPr>
          <w:sz w:val="20"/>
          <w:szCs w:val="20"/>
          <w:rFonts w:cs="Arial"/>
        </w:rPr>
        <w:instrText xml:space="preserve"> SEQ Figura \* ARABIC </w:instrText>
      </w:r>
      <w:r>
        <w:rPr>
          <w:sz w:val="20"/>
          <w:szCs w:val="20"/>
          <w:rFonts w:cs="Arial"/>
        </w:rPr>
        <w:fldChar w:fldCharType="separate"/>
      </w:r>
      <w:r>
        <w:rPr>
          <w:sz w:val="20"/>
          <w:szCs w:val="20"/>
          <w:rFonts w:cs="Arial"/>
        </w:rPr>
        <w:t>7</w:t>
      </w:r>
      <w:r>
        <w:rPr>
          <w:sz w:val="20"/>
          <w:szCs w:val="20"/>
          <w:rFonts w:cs="Arial"/>
        </w:rPr>
        <w:fldChar w:fldCharType="end"/>
      </w:r>
      <w:bookmarkEnd w:id="31"/>
      <w:r>
        <w:rPr>
          <w:rFonts w:cs="Arial"/>
          <w:sz w:val="20"/>
          <w:szCs w:val="20"/>
        </w:rPr>
        <w:t xml:space="preserve"> </w:t>
      </w:r>
      <w:r>
        <w:rPr>
          <w:rFonts w:cs="Arial"/>
          <w:sz w:val="20"/>
          <w:szCs w:val="20"/>
        </w:rPr>
        <w:t>– Localização das casas avaliadas e sua rotulagem dos resíduos.</w:t>
      </w:r>
      <w:bookmarkEnd w:id="29"/>
    </w:p>
    <w:p>
      <w:pPr>
        <w:pStyle w:val="Normal"/>
        <w:ind w:firstLine="1134"/>
        <w:jc w:val="center"/>
        <w:rPr/>
      </w:pPr>
      <w:r>
        <w:rPr/>
      </w:r>
    </w:p>
    <w:p>
      <w:pPr>
        <w:pStyle w:val="Normal"/>
        <w:rPr/>
      </w:pPr>
      <w:r>
        <w:rPr/>
      </w:r>
    </w:p>
    <w:p>
      <w:pPr>
        <w:pStyle w:val="Normal"/>
        <w:rPr/>
      </w:pPr>
      <w:r>
        <w:rPr/>
        <w:t xml:space="preserve">Tal comportamento reforça a adequação do OMI como instrumento de referência para suporte às avaliações, uma vez que, de forma geral, não se observa concentração sistemática de discrepâncias ao longo do território analisado. Entretanto, identificou-se ocorrência pontual de resíduos elevados em uma região específica, indicando a necessidade de ajustes localizados na modelagem adotada para aquele setor. Dessa forma, o conjunto amostral mantém comportamento global consistente e espacialmente homogêneo, sendo as divergências identificadas tratadas de maneira específica a fim de aprimorar a aderência do modelo naquela localidade. </w:t>
      </w:r>
    </w:p>
    <w:p>
      <w:pPr>
        <w:pStyle w:val="Normal"/>
        <w:rPr/>
      </w:pPr>
      <w:r>
        <w:rPr/>
      </w:r>
    </w:p>
    <w:p>
      <w:pPr>
        <w:pStyle w:val="Heading1"/>
        <w:rPr/>
      </w:pPr>
      <w:bookmarkStart w:id="32" w:name="__RefHeading___Toc12825_1774815877"/>
      <w:bookmarkStart w:id="33" w:name="_Toc230704177"/>
      <w:bookmarkEnd w:id="32"/>
      <w:r>
        <w:rPr/>
        <w:t xml:space="preserve">5. </w:t>
        <w:tab/>
        <w:t xml:space="preserve"> </w:t>
      </w:r>
      <w:r>
        <w:rPr/>
        <w:t xml:space="preserve">ANÁLISE DAS AMOSTRAS DE </w:t>
      </w:r>
      <w:r>
        <w:rPr/>
        <w:t>APARTAMENTOS E SALAS COMERCIAIS</w:t>
      </w:r>
      <w:bookmarkEnd w:id="33"/>
    </w:p>
    <w:p>
      <w:pPr>
        <w:pStyle w:val="BodyText"/>
        <w:ind w:hanging="0"/>
        <w:rPr>
          <w:rFonts w:cs="Arial"/>
        </w:rPr>
      </w:pPr>
      <w:r>
        <w:rPr>
          <w:rFonts w:cs="Arial"/>
        </w:rPr>
        <w:tab/>
        <w:t xml:space="preserve">Na continuidade das análises acerca de apartamentos e salas, das iniciais 190 consultas realizadas pelos auditores municipais, excluindo-se algumas IMO repetidas (decorrentes de divergências de banco de dados), erros de tipologia e informações incompletas, foi possível avaliar detalhadamente 184 consultas. Os resultados demonstraram elevada correlação entre os valores analisados, evidenciada pelo coeficiente angular próximo à reta identidade (y = 1,04x), conforme apresentado na </w:t>
      </w:r>
      <w:r>
        <w:rPr>
          <w:rFonts w:cs="Arial"/>
        </w:rPr>
        <w:fldChar w:fldCharType="begin"/>
      </w:r>
      <w:r>
        <w:rPr>
          <w:rFonts w:cs="Arial"/>
        </w:rPr>
        <w:instrText xml:space="preserve"> REF Ref_Figura8_label_and_number \h </w:instrText>
      </w:r>
      <w:r>
        <w:rPr>
          <w:rFonts w:cs="Arial"/>
        </w:rPr>
        <w:fldChar w:fldCharType="separate"/>
      </w:r>
      <w:r>
        <w:rPr>
          <w:rFonts w:cs="Arial"/>
        </w:rPr>
        <w:t>Figura 8</w:t>
      </w:r>
      <w:r>
        <w:rPr>
          <w:rFonts w:cs="Arial"/>
        </w:rPr>
        <w:fldChar w:fldCharType="end"/>
      </w:r>
      <w:r>
        <w:rPr>
          <w:rFonts w:cs="Arial"/>
        </w:rPr>
        <w:t>.</w:t>
      </w:r>
    </w:p>
    <w:p>
      <w:pPr>
        <w:pStyle w:val="BodyText"/>
        <w:ind w:hanging="0"/>
        <w:rPr/>
      </w:pPr>
      <w:r>
        <w:rPr/>
        <w:tab/>
        <w:t>O gráfico de dispersão evidencia forte aderência entre a avaliação do auditor e os valores observados, indicando consistência e proporcionalidade entre as variáveis analisadas. O coeficiente de determinação obtido (R² = 0,927) demonstra que aproximadamente 92,7% da variação dos valores pode ser explicada pela relação linear identificada, reforçando a confiabilidade dos resultados. Observa-se ainda que a maior concentração dos dados se encontra nas faixas de menor valor venal, enquanto os imóveis de maior valor mantêm comportamento compatível com a tendência geral, apresentando apenas pequenas dispersões pontuais.</w:t>
      </w:r>
    </w:p>
    <w:p>
      <w:pPr>
        <w:pStyle w:val="Normal"/>
        <w:ind w:firstLine="1134"/>
        <w:rPr>
          <w:rFonts w:cs="Arial"/>
        </w:rPr>
      </w:pPr>
      <w:r>
        <w:rPr/>
      </w:r>
    </w:p>
    <w:p>
      <w:pPr>
        <w:pStyle w:val="Normal"/>
        <w:ind w:firstLine="1134"/>
        <w:rPr>
          <w:rFonts w:cs="Arial"/>
        </w:rPr>
      </w:pPr>
      <w:r>
        <w:rPr>
          <w:rFonts w:cs="Arial"/>
        </w:rPr>
      </w:r>
    </w:p>
    <w:p>
      <w:pPr>
        <w:pStyle w:val="Normal"/>
        <w:ind w:firstLine="1134"/>
        <w:rPr>
          <w:rFonts w:cs="Arial"/>
        </w:rPr>
      </w:pPr>
      <w:r>
        <w:rPr>
          <w:rFonts w:cs="Arial"/>
        </w:rPr>
      </w:r>
    </w:p>
    <w:p>
      <w:pPr>
        <w:pStyle w:val="Normal"/>
        <w:ind w:firstLine="1134"/>
        <w:rPr>
          <w:rFonts w:cs="Arial"/>
        </w:rPr>
      </w:pPr>
      <w:r>
        <w:rPr>
          <w:rFonts w:cs="Arial"/>
        </w:rPr>
      </w:r>
    </w:p>
    <w:p>
      <w:pPr>
        <w:pStyle w:val="Normal"/>
        <w:ind w:firstLine="1134"/>
        <w:rPr>
          <w:rFonts w:cs="Arial"/>
        </w:rPr>
      </w:pPr>
      <w:r>
        <w:rPr>
          <w:rFonts w:cs="Arial"/>
        </w:rPr>
      </w:r>
    </w:p>
    <w:p>
      <w:pPr>
        <w:pStyle w:val="Normal"/>
        <w:spacing w:lineRule="auto" w:line="240"/>
        <w:ind w:hanging="0"/>
        <w:jc w:val="center"/>
        <w:rPr>
          <w:rFonts w:cs="Arial"/>
          <w:sz w:val="20"/>
          <w:szCs w:val="20"/>
        </w:rPr>
      </w:pPr>
      <w:bookmarkStart w:id="34" w:name="_Toc230704347"/>
      <w:bookmarkStart w:id="35" w:name="Ref_Figura8_label_and_number"/>
      <w:r>
        <w:rPr>
          <w:rFonts w:cs="Arial"/>
          <w:sz w:val="20"/>
          <w:szCs w:val="20"/>
        </w:rPr>
        <w:t xml:space="preserve">Figura </w:t>
      </w:r>
      <w:r>
        <w:rPr>
          <w:rFonts w:cs="Arial"/>
          <w:sz w:val="20"/>
          <w:szCs w:val="20"/>
        </w:rPr>
        <w:fldChar w:fldCharType="begin"/>
      </w:r>
      <w:r>
        <w:rPr>
          <w:sz w:val="20"/>
          <w:szCs w:val="20"/>
          <w:rFonts w:cs="Arial"/>
        </w:rPr>
        <w:instrText xml:space="preserve"> SEQ Figura \* ARABIC </w:instrText>
      </w:r>
      <w:r>
        <w:rPr>
          <w:sz w:val="20"/>
          <w:szCs w:val="20"/>
          <w:rFonts w:cs="Arial"/>
        </w:rPr>
        <w:fldChar w:fldCharType="separate"/>
      </w:r>
      <w:r>
        <w:rPr>
          <w:sz w:val="20"/>
          <w:szCs w:val="20"/>
          <w:rFonts w:cs="Arial"/>
        </w:rPr>
        <w:t>8</w:t>
      </w:r>
      <w:r>
        <w:rPr>
          <w:sz w:val="20"/>
          <w:szCs w:val="20"/>
          <w:rFonts w:cs="Arial"/>
        </w:rPr>
        <w:fldChar w:fldCharType="end"/>
      </w:r>
      <w:bookmarkEnd w:id="35"/>
      <w:r>
        <w:rPr>
          <w:rFonts w:cs="Arial"/>
          <w:sz w:val="20"/>
          <w:szCs w:val="20"/>
        </w:rPr>
        <w:t xml:space="preserve"> </w:t>
      </w:r>
      <w:r>
        <w:rPr>
          <w:rFonts w:cs="Arial"/>
          <w:sz w:val="20"/>
          <w:szCs w:val="20"/>
        </w:rPr>
        <w:t>– Avaliação do Auditor x OMI para apartamentos e salas comerciais.</w:t>
      </w:r>
      <w:bookmarkEnd w:id="34"/>
    </w:p>
    <w:p>
      <w:pPr>
        <w:pStyle w:val="Normal"/>
        <w:spacing w:lineRule="auto" w:line="240"/>
        <w:ind w:hanging="0"/>
        <w:rPr>
          <w:rFonts w:cs="Arial"/>
        </w:rPr>
      </w:pPr>
      <w:r>
        <w:rPr>
          <w:rFonts w:cs="Arial"/>
        </w:rPr>
      </w:r>
    </w:p>
    <w:p>
      <w:pPr>
        <w:pStyle w:val="Normal"/>
        <w:spacing w:lineRule="auto" w:line="360"/>
        <w:ind w:hanging="0"/>
        <w:jc w:val="center"/>
        <w:rPr>
          <w:rFonts w:cs="Arial"/>
        </w:rPr>
      </w:pPr>
      <w:r>
        <w:rPr/>
        <w:drawing>
          <wp:inline distT="0" distB="0" distL="0" distR="0">
            <wp:extent cx="4775835" cy="3105150"/>
            <wp:effectExtent l="0" t="0" r="0" b="0"/>
            <wp:docPr id="24" name="Objeto4"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BodyText"/>
        <w:ind w:hanging="0"/>
        <w:rPr>
          <w:rFonts w:cs="Arial"/>
        </w:rPr>
      </w:pPr>
      <w:r>
        <w:rPr>
          <w:rFonts w:cs="Arial"/>
        </w:rPr>
        <w:tab/>
        <w:t xml:space="preserve">A </w:t>
      </w:r>
      <w:r>
        <w:rPr>
          <w:rFonts w:cs="Arial"/>
        </w:rPr>
        <w:fldChar w:fldCharType="begin"/>
      </w:r>
      <w:r>
        <w:rPr>
          <w:rFonts w:cs="Arial"/>
        </w:rPr>
        <w:instrText xml:space="preserve"> REF Ref_Tabela3_label_and_number \h </w:instrText>
      </w:r>
      <w:r>
        <w:rPr>
          <w:rFonts w:cs="Arial"/>
        </w:rPr>
        <w:fldChar w:fldCharType="separate"/>
      </w:r>
      <w:r>
        <w:rPr>
          <w:rFonts w:cs="Arial"/>
        </w:rPr>
        <w:t>Tabela 4</w:t>
      </w:r>
      <w:r>
        <w:rPr>
          <w:rFonts w:cs="Arial"/>
        </w:rPr>
        <w:fldChar w:fldCharType="end"/>
      </w:r>
      <w:r>
        <w:rPr>
          <w:rFonts w:cs="Arial"/>
        </w:rPr>
        <w:t xml:space="preserve"> apresenta o conjunto de amostras de apartamentos encaminhadas pelos cinco auditores municipais, referentes aos achados do mês de março de 2026, contemplando as avaliações realizadas pelos respectivos auditores e as avaliações efetuadas por nossa equipe técnica no sistema OMI. Para cada imóvel analisado, são apresentados também os resíduos absolutos, expressos em reais (R$), e os resíduos percentuais (residuos_perc), possibilitando uma análise comparativa mais detalhada entre os valores obtidos pelas diferentes metodologias de avaliação.</w:t>
      </w:r>
    </w:p>
    <w:p>
      <w:pPr>
        <w:sectPr>
          <w:headerReference w:type="default" r:id="rId18"/>
          <w:headerReference w:type="first" r:id="rId19"/>
          <w:footerReference w:type="default" r:id="rId20"/>
          <w:footerReference w:type="first" r:id="rId21"/>
          <w:type w:val="nextPage"/>
          <w:pgSz w:w="11906" w:h="16838"/>
          <w:pgMar w:left="1701" w:right="1134" w:gutter="0" w:header="709" w:top="1701" w:footer="709" w:bottom="1134"/>
          <w:pgNumType w:fmt="decimal"/>
          <w:formProt w:val="false"/>
          <w:titlePg/>
          <w:textDirection w:val="lrTb"/>
          <w:docGrid w:type="default" w:linePitch="360" w:charSpace="0"/>
        </w:sectPr>
        <w:pStyle w:val="BodyText"/>
        <w:ind w:hanging="0"/>
        <w:rPr>
          <w:rFonts w:cs="Arial"/>
        </w:rPr>
      </w:pPr>
      <w:r>
        <w:rPr>
          <w:rFonts w:cs="Arial"/>
        </w:rPr>
        <w:tab/>
      </w:r>
      <w:r>
        <w:rPr/>
        <w:t>A disposição conjunta dessas informações permite avaliar o grau de aderência entre as avaliações realizadas pelos auditores e aquelas estimadas pelo OMI, contribuindo para a identificação de padrões de comportamento, eventuais divergências e inconsistências pontuais observadas nas amostras analisadas. Além disso, a análise dos resíduos auxilia na interpretação da precisão dos resultados obtidos, fornecendo subsídios técnicos relevantes para a validação das avaliações e para a verificação da consistência dos parâmetros utilizados ao longo do processo avaliatório.</w:t>
      </w:r>
    </w:p>
    <w:p>
      <w:pPr>
        <w:pStyle w:val="Caption1"/>
        <w:keepNext w:val="true"/>
        <w:spacing w:before="120" w:after="0"/>
        <w:rPr>
          <w:rFonts w:ascii="Arial" w:hAnsi="Arial" w:cs="Arial"/>
          <w:i w:val="false"/>
          <w:i w:val="false"/>
          <w:iCs w:val="false"/>
          <w:sz w:val="20"/>
          <w:szCs w:val="20"/>
        </w:rPr>
      </w:pPr>
      <w:bookmarkStart w:id="36" w:name="_Toc230704355"/>
      <w:bookmarkStart w:id="37" w:name="Ref_Tabela3_label_and_number"/>
      <w:r>
        <w:rPr>
          <w:rFonts w:cs="Arial" w:ascii="Arial" w:hAnsi="Arial"/>
          <w:i w:val="false"/>
          <w:iCs w:val="false"/>
          <w:sz w:val="20"/>
          <w:szCs w:val="20"/>
        </w:rPr>
        <w:t xml:space="preserve">Tabela </w:t>
      </w:r>
      <w:r>
        <w:rPr>
          <w:rFonts w:cs="Arial" w:ascii="Arial" w:hAnsi="Arial"/>
          <w:i w:val="false"/>
          <w:iCs w:val="false"/>
          <w:sz w:val="20"/>
          <w:szCs w:val="20"/>
        </w:rPr>
        <w:fldChar w:fldCharType="begin"/>
      </w:r>
      <w:r>
        <w:rPr>
          <w:sz w:val="20"/>
          <w:i w:val="false"/>
          <w:szCs w:val="20"/>
          <w:iCs w:val="false"/>
          <w:rFonts w:cs="Arial" w:ascii="Arial" w:hAnsi="Arial"/>
        </w:rPr>
        <w:instrText xml:space="preserve"> SEQ Tabela \* ARABIC </w:instrText>
      </w:r>
      <w:r>
        <w:rPr>
          <w:sz w:val="20"/>
          <w:i w:val="false"/>
          <w:szCs w:val="20"/>
          <w:iCs w:val="false"/>
          <w:rFonts w:cs="Arial" w:ascii="Arial" w:hAnsi="Arial"/>
        </w:rPr>
        <w:fldChar w:fldCharType="separate"/>
      </w:r>
      <w:r>
        <w:rPr>
          <w:sz w:val="20"/>
          <w:i w:val="false"/>
          <w:szCs w:val="20"/>
          <w:iCs w:val="false"/>
          <w:rFonts w:cs="Arial" w:ascii="Arial" w:hAnsi="Arial"/>
        </w:rPr>
        <w:t>4</w:t>
      </w:r>
      <w:r>
        <w:rPr>
          <w:sz w:val="20"/>
          <w:i w:val="false"/>
          <w:szCs w:val="20"/>
          <w:iCs w:val="false"/>
          <w:rFonts w:cs="Arial" w:ascii="Arial" w:hAnsi="Arial"/>
        </w:rPr>
        <w:fldChar w:fldCharType="end"/>
      </w:r>
      <w:bookmarkEnd w:id="37"/>
      <w:r>
        <w:rPr>
          <w:rFonts w:cs="Arial" w:ascii="Arial" w:hAnsi="Arial"/>
          <w:i w:val="false"/>
          <w:iCs w:val="false"/>
          <w:sz w:val="20"/>
          <w:szCs w:val="20"/>
        </w:rPr>
        <w:t xml:space="preserve"> </w:t>
      </w:r>
      <w:r>
        <w:rPr>
          <w:rFonts w:cs="Arial" w:ascii="Arial" w:hAnsi="Arial"/>
          <w:i w:val="false"/>
          <w:iCs w:val="false"/>
          <w:sz w:val="20"/>
          <w:szCs w:val="20"/>
        </w:rPr>
        <w:t>– Tabela de avaliação de apartamentos.</w:t>
      </w:r>
      <w:bookmarkEnd w:id="36"/>
    </w:p>
    <w:p>
      <w:pPr>
        <w:pStyle w:val="Normal"/>
        <w:ind w:hanging="0"/>
        <w:rPr>
          <w:rFonts w:cs="Arial"/>
        </w:rPr>
      </w:pPr>
      <w:r>
        <w:rPr>
          <w:rFonts w:cs="Arial"/>
        </w:rPr>
      </w:r>
    </w:p>
    <w:tbl>
      <w:tblPr>
        <w:tblW w:w="12340" w:type="dxa"/>
        <w:jc w:val="left"/>
        <w:tblInd w:w="85" w:type="dxa"/>
        <w:tblLayout w:type="fixed"/>
        <w:tblCellMar>
          <w:top w:w="0" w:type="dxa"/>
          <w:left w:w="70" w:type="dxa"/>
          <w:bottom w:w="0" w:type="dxa"/>
          <w:right w:w="70" w:type="dxa"/>
        </w:tblCellMar>
        <w:tblLook w:firstRow="1" w:noVBand="1" w:lastRow="0" w:firstColumn="1" w:lastColumn="0" w:noHBand="0" w:val="04a0"/>
      </w:tblPr>
      <w:tblGrid>
        <w:gridCol w:w="1659"/>
        <w:gridCol w:w="4081"/>
        <w:gridCol w:w="1660"/>
        <w:gridCol w:w="1520"/>
        <w:gridCol w:w="1460"/>
        <w:gridCol w:w="1959"/>
      </w:tblGrid>
      <w:tr>
        <w:trPr>
          <w:trHeight w:val="780" w:hRule="atLeast"/>
        </w:trPr>
        <w:tc>
          <w:tcPr>
            <w:tcW w:w="1659" w:type="dxa"/>
            <w:tcBorders>
              <w:top w:val="single" w:sz="12" w:space="0" w:color="000000"/>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b/>
                <w:bCs/>
                <w:color w:val="000000"/>
                <w:sz w:val="22"/>
                <w:szCs w:val="22"/>
              </w:rPr>
            </w:pPr>
            <w:r>
              <w:rPr>
                <w:rFonts w:ascii="Aptos Narrow" w:hAnsi="Aptos Narrow"/>
                <w:b/>
                <w:bCs/>
                <w:color w:val="000000"/>
                <w:sz w:val="22"/>
                <w:szCs w:val="22"/>
              </w:rPr>
              <w:t>IMO</w:t>
            </w:r>
          </w:p>
        </w:tc>
        <w:tc>
          <w:tcPr>
            <w:tcW w:w="4081" w:type="dxa"/>
            <w:tcBorders>
              <w:top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b/>
                <w:bCs/>
                <w:color w:val="000000"/>
                <w:sz w:val="22"/>
                <w:szCs w:val="22"/>
              </w:rPr>
            </w:pPr>
            <w:r>
              <w:rPr>
                <w:rFonts w:ascii="Aptos Narrow" w:hAnsi="Aptos Narrow"/>
                <w:b/>
                <w:bCs/>
                <w:color w:val="000000"/>
                <w:sz w:val="22"/>
                <w:szCs w:val="22"/>
              </w:rPr>
              <w:t>Valor de avaliação Auditor (Va)</w:t>
            </w:r>
          </w:p>
        </w:tc>
        <w:tc>
          <w:tcPr>
            <w:tcW w:w="1660" w:type="dxa"/>
            <w:tcBorders>
              <w:top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b/>
                <w:bCs/>
                <w:color w:val="000000"/>
                <w:sz w:val="22"/>
                <w:szCs w:val="22"/>
              </w:rPr>
            </w:pPr>
            <w:r>
              <w:rPr>
                <w:rFonts w:ascii="Aptos Narrow" w:hAnsi="Aptos Narrow"/>
                <w:b/>
                <w:bCs/>
                <w:color w:val="000000"/>
                <w:sz w:val="22"/>
                <w:szCs w:val="22"/>
              </w:rPr>
              <w:t>OMI (04/05/26)</w:t>
            </w:r>
          </w:p>
        </w:tc>
        <w:tc>
          <w:tcPr>
            <w:tcW w:w="1520" w:type="dxa"/>
            <w:tcBorders>
              <w:top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b/>
                <w:bCs/>
                <w:color w:val="000000"/>
                <w:sz w:val="22"/>
                <w:szCs w:val="22"/>
              </w:rPr>
            </w:pPr>
            <w:r>
              <w:rPr>
                <w:rFonts w:ascii="Aptos Narrow" w:hAnsi="Aptos Narrow"/>
                <w:b/>
                <w:bCs/>
                <w:color w:val="000000"/>
                <w:sz w:val="22"/>
                <w:szCs w:val="22"/>
              </w:rPr>
              <w:t>resíduos</w:t>
            </w:r>
          </w:p>
        </w:tc>
        <w:tc>
          <w:tcPr>
            <w:tcW w:w="1460" w:type="dxa"/>
            <w:tcBorders>
              <w:top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b/>
                <w:bCs/>
                <w:color w:val="000000"/>
                <w:sz w:val="22"/>
                <w:szCs w:val="22"/>
              </w:rPr>
            </w:pPr>
            <w:r>
              <w:rPr>
                <w:rFonts w:ascii="Aptos Narrow" w:hAnsi="Aptos Narrow"/>
                <w:b/>
                <w:bCs/>
                <w:color w:val="000000"/>
                <w:sz w:val="22"/>
                <w:szCs w:val="22"/>
              </w:rPr>
              <w:t>z_score</w:t>
            </w:r>
          </w:p>
        </w:tc>
        <w:tc>
          <w:tcPr>
            <w:tcW w:w="1959" w:type="dxa"/>
            <w:tcBorders>
              <w:top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b/>
                <w:bCs/>
                <w:color w:val="000000"/>
                <w:sz w:val="22"/>
                <w:szCs w:val="22"/>
              </w:rPr>
            </w:pPr>
            <w:r>
              <w:rPr>
                <w:rFonts w:ascii="Aptos Narrow" w:hAnsi="Aptos Narrow"/>
                <w:b/>
                <w:bCs/>
                <w:color w:val="000000"/>
                <w:sz w:val="22"/>
                <w:szCs w:val="22"/>
              </w:rPr>
              <w:t>residuos_perc</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343.144-4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115100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96155,56</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18944,44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0,0698943</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-16,45911381</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306.597-9</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492139,57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-252139,57</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-1,764917689</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105,0581542</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433.112-5</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233400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250662,53</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-17262,53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-0,175169887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7,396113967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369.146-2</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1000000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467569,19</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532430,81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3,54538866</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-53,243081</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396.292-0</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732600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851469,53</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-118869,53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-0,862889321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16,22570707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355.644-1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400000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322278,81</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77721,19</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0,467720367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-19,4302975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421.506-1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241555,92</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178115,02</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63440,9</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0,371065285</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-26,26344244</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436.576-3</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210952,55</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9047,45</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0,002907258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-4,112477273</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225.982-6</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125111,04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74888,96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0,448550629</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-37,44448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034.755-8</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147664,8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2335,2</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-0,042524107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-1,5568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436.785-5</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222000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125111,04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96888,96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0,597455995</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-43,64367568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356.932-2</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600000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350321,18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249678,82</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1,631602815</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-41,61313667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058.449-5</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385157,28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-185157,28</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-1,311553033</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92,57864</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387.340-4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630000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674284,3</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-44284,3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-0,358064731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7,029253968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214.241-4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182478,9</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-32478,9</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-0,278160757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21,6526</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417.653-7</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320231,41</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178628,87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141602,54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0,90009654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-44,21881664</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377.739-1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259400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215593,09</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43806,91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0,238174082</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-16,88778335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363.356-0</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256693,15</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163306,85</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1,047000551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-38,88258333</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371.359-8</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293870,84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76129,16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0,456944831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-20,57544865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435.523-7</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264000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336849,22</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-72849,22</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-0,55140427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27,59440152</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435.656-0</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292000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319288,36</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-27288,36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-0,243028973</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9,345328767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420.286-4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240300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224391,34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15908,66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0,049346849</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-6,620332917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420.437-9</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240300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165422,25</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74877,75</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0,448474755</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-31,16011236</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435.510-5</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264000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334487,81</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-70487,81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-0,535421242</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26,69992803</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293.562-7</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137045,32</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12954,68</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0,029353055</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-8,636453333</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110.725-9</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173564,83</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174210,01</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-645,18</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-0,062696588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0,371722774</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351.635-1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304400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221649,74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82750,26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0,501759254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-27,18471091</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293564-3</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176000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143569,25</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32430,75</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0,161175388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-18,4265625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436.743-0</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222000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125111,04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96888,96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0,597455995</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-43,64367568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334.628-5</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272900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236625,04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36274,96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0,187194638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-13,29240015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436.541-1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125111,04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94888,96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0,583919144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-43,13134545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384.080-8</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510000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578490,63</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-68490,63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-0,521903477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13,42953529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412329-8</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266000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292838,82</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-26838,82</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-0,239986295</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10,08978195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421.284-3</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244611,85</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165351,92</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79259,93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0,478135215</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-32,40232638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131.058-5</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215677,37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-15677,37</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-0,164440849</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7,838685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352.429-9</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315000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277833,65</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37166,35</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0,193227945</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-11,79884127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365.187-8</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346300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364067,57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-17767,57</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-0,178588213</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5,130687265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400.479-5</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311800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337703,47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-25903,47</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-0,233655448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8,307719692</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436.525-9</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125111,04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74888,96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0,448550629</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-37,44448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436.308-6</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125111,04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94888,96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0,583919144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-43,13134545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436.728-6</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226750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125111,04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101638,96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0,629606017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-44,82423815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436.445-7</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125111,04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94888,96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0,583919144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-43,13134545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436.765-1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228750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125111,04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103638,96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0,643142869</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-45,30664918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436.641-7</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228750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125111,04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103638,96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0,643142869</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-45,30664918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436.777-4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125111,04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94888,96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0,583919144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-43,13134545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353.239-9</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184700,88</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181119,25</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3581,63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-0,034087738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-1,939151562</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312.350-2</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380861,64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39138,36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0,206575348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-9,318657143</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359.672-9</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467910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298158,69</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169751,31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1,0906194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-36,27862409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405.453-9</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239429,36</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210600,28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28829,08</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0,136797752</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-12,04074555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358.688-0</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763650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624676,91</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138973,09</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0,882299303</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-18,19853205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367.498-3</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136757,19</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118758,1</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17999,09</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0,063495769</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-13,16134823</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339.049-7</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128819,7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41180,3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0,220396067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-24,22370588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185.632-4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234814,53</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237820,35</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-3005,82</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-0,078674404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1,280082625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175.058-5</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345700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509102,59</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-163402,59</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-1,16430803</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47,26716517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186.724-5</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178740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269946,71</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-91206,71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-0,675655578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51,02758756</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365.833-3</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200238,16</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94043,55</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106194,61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0,660440596</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-53,03415193</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130.761-4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214830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319716,39</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-104886,39</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-0,768245476</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48,82297165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410.464-1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171450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151847,18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19602,82</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0,074350496</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-11,43354914</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405.339-7</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215000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219536,08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-4536,08</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-0,089031856</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2,109804651</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412.361-1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280401,27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9598,73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0,006638556</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-3,309906897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436.001-0</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809900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748403,09</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61496,91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0,357907533</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-7,593148537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368.456-3</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124600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107821,17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16778,83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0,05523653</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-13,4661557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329.348-3</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231287</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122254,95</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109032,05</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0,679645598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-47,14145196</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359.672-9</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467910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298158,69</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169751,31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1,0906194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-36,27862409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436.329-9</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125111,04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94888,96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0,583919144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-43,13134545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360.339-3</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347993,41</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-67993,41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-0,518538081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24,28336071</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165.721-6</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252500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470956,18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-218456,18</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-1,536934165</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86,51729901</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359.496-3</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467910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298158,69</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169751,31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1,0906194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-36,27862409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372.336-4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38775,47</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42655,31</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-3879,84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-0,084590144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10,00591353</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377.820-7</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259400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215593,09</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43806,91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0,238174082</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-16,88778335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436.773-1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125111,04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94888,96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0,583919144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-43,13134545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368.383-4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135000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103309,43</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31690,57</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0,156165535</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-23,4744963</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370.197-2</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525000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668747,97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-143747,97</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-1,031277194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27,38056571</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410.354-8</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1530180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1913074,5</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-382894,5</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-2,649922721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25,02284045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415.184-4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431300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864399,13</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-433099,13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-2,989729031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100,4171412</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432.961-9</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233400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250662,53</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-17262,53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-0,175169887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7,396113967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231.561-1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173943,87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-3943,87</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-0,085023526</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2,319923529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223.388-6</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141402,14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8597,86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-0,000135758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-5,731906667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280.573-1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226654,37</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339297,83</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-112643,46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-0,820748628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49,69834025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280.574-0</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178090,49</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266583,72</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-88493,23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-0,65728959</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49,69003679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280.575-8</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259009,57</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387739,25</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-128729,68</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-0,929627013</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49,70074272</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382.760-7</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306810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144445,61</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162364,39</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1,04062158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-52,92017535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421.468-4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232388,14</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174446,28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57941,86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0,333845441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-24,93322594</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352.988-6</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694890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632102,94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62787,06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0,366639818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-9,035539438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312.640-4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268020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265993,26</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2026,74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-0,044611896</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-0,756189837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227.270-9</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382610,41</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326452,44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56157,97</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0,321771314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-14,67758548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293.956-8</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115000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109851,47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5148,53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-0,023482292</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-4,476982609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362.827-2</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78301,68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61698,32</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0,359270762</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-44,07022857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370.503-0</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333818,63</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207411,95</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126406,68</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0,797244491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-37,866874</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294.223-2</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136000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164040,2</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-28040,2</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-0,248117746</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20,61779412</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315.015-1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1000000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1752576,04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-752576,04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-5,152084769</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75,257604</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188.336-4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415000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575893,91</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-160893,91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-1,147328215</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38,76961687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396.614-3</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412353,44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-52353,44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-0,412680105</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14,54262222</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384.180-4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700000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802313,63</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-102313,63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-0,750831941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14,61623286</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385.490-6</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306600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287909,36</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18690,64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0,068176474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-6,096099152</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412.008-6</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280401,27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29598,73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0,142007071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-9,547977419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384.548-6</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1200000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1280483,87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-80483,87</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-0,603078832</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6,706989167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373.913-9</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168000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129779,99</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38220,01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0,200359564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-22,75000595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356.863-6</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750000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913963,69</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-163963,69</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-1,168105793</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21,86182533</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3415881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317613,08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-67613,08</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-0,515963845</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27,045232</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2907305</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185368,85</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-15368,85</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-0,162352655</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9,0405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358.570-1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950000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599459,54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350540,46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2,314277335</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-36,89899579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4292693</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775700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566889,87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208810,13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1,354986122</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-26,91892871</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354.759-1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235000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131527,87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103472,13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0,642013692</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-44,03069362</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409.859-5</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525085</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566404,91</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-41319,91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-0,338000477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7,869184989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351.587-7</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350405,43</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224989,56</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125415,87</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0,790538267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-35,79164569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066.724-2</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463881,04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-283881,04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-1,979757471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157,7116889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384.411-1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1200000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1298436,94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-98436,94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-0,724592853</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8,203078333</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351.234-7</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165000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111697,19</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53302,81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0,302446376</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-32,30473333</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410.346-7</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1758600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1778036,57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-19436,57</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-0,189884715</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1,105229728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068.879-7</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172000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200029,3</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-28029,3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-0,24804397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16,29610465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397.970-9</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265000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148056,13</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116943,87</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0,733196164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-44,12976226</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436.005-2</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809900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748403,09</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61496,91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0,357907533</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-7,593148537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296.474-1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1137000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1701376,69</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-564376,69</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-3,878271446</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49,6373518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340.439-1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180812,2</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127133,48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53678,72</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0,304990695</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-29,68755427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323.455-0</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282700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201428,62</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81271,38</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0,491749565</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-28,74827733</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435.975-5</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744900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660032,98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84867,02</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0,516086387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-11,39307558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415.380-4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394019,94</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302255,38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91764,56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0,562771874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-23,28931881</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432.190-1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3243312</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3279468,74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-36156,74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-0,303053944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1,114809183</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401.859-1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1210700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1296160,6</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-85460,6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-0,636763459</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7,058775915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384.148-1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782785,54</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786441,72</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-3656,18</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-0,083076318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0,467073012</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412.209-7</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334739,87</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284225,42</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50514,45</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0,283573568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-15,09065831</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429.393-2</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988885</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604620,09</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384264,91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2,54253877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-38,85840214</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436.029-0</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809900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743216,58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66683,42</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0,393012041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-8,233537474</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432.201-1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3613899,28</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3394279,87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219619,41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1,428147931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-6,077076116</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128.730-3</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158419,67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-28419,67</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-0,250686161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21,86128462</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360.223-1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282988,89</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340776,02</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-57787,13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-0,449457633</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20,42028222</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352.171-1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97142,23</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52857,77</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0,299434156</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-35,23851333</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373.748-9</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576000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539221,01</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36778,99</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0,190606127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-6,385241319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371.588-4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2200000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2245303,68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-45303,68</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-0,364964328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2,059258182</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403.023-1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356439</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165953,12</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190485,88</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1,230959797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-53,44136865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352.383-7</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196213,76</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13786,24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0,034981407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-6,56487619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365.387-1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448600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369208,03</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79391,97</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0,479028918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-17,69771957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358.643-0</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800000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603547,28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196452,72</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1,27134591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-24,55659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357.046-1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272534,21</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147465,79</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0,939781513</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-35,11090238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363.833-2</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162000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71059,03</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90940,97</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0,557197466</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-56,13640123</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131.201-4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185000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205641,37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-20641,37</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-0,198039315</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11,1574973</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384.556-7</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1170000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1289460,41</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-119460,41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-0,866888648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10,21029145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359.706-7</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2150000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2361329,25</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-211329,25</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-1,488696069</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9,829267442</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291.124-8</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357844,17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-67844,17</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-0,517527961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23,39454138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372.975-3</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550000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539703,48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10296,52</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0,011361496</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-1,872094545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364.553-3</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222000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148829,16</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73170,84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0,436921661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-32,95983784</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334.600-5</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277168,47</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229076,7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48091,77</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0,267175839</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-17,35109697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365.745-1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94043,55</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75956,45</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0,455775856</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-44,68026471</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407.768-7</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277000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145177,79</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131822,21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0,833899103</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-47,58924549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415.400-2</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342052,87</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267012,68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75040,19</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0,449574218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-21,93818459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212.540-4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895000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1520707,24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-625707,24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-4,293382719</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69,91142346</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429.151-4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235000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193068,8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41931,2</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0,225478478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-17,84306383</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429.152-2</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185848,53</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14151,47</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0,037453439</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-7,075735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429.162-0</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245000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193068,8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51931,2</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0,293162735</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-21,19640816</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432.195-2</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3036780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3323891,58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-287111,58</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-2,001623141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9,454474147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388.032-0</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217000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123670,14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93329,86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0,573366491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-43,00915207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418.130-1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212000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139635,69</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72364,31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0,431462723</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-34,13410849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401.413-8</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201913,47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58086,53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0,334824629</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-22,34097308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342.710-2</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188300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128819,7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59480,3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0,344258258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-31,58805098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367.200-0</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271000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208638,52</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62361,48</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0,363759311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-23,01161624</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145.830-2</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275000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239396,45</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35603,55</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0,182650249</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-12,94674545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381.788-1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236955,21</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184728,07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52227,14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0,295165783</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-22,04093339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363.200-8</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305000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237225,41</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67774,59</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0,400397544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-22,22117705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182.613-1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385000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556947,66</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-171947,66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-1,222144701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44,66172987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314.913-7</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317512,2</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32487,8</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0,161561527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-9,282228571</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352.076-5</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97823,22</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62176,78</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0,362509183</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-38,8604875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357.170-0</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465800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272534,21</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193265,79</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1,249775411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-41,49115286</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436.004-4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809900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743216,58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66683,42</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0,393012041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-8,233537474</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111.237-6</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113708,01</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36291,99</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0,187309904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-24,19466</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324.868-2</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267500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342166,3</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-74666,3</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-0,563703041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27,91263551</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226.728-4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523916,81</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-173916,81</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-1,235472747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49,69051714</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305.748-8</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215000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144645,04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70354,96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0,417862587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-32,72323721</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328.981-8</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1171000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1241344,4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-70344,4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-0,534450582</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6,007207515</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349.402-1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260000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176745,61</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83254,39</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0,505171421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-32,02091923</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294.384-1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358532,14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-108532,14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-0,792921464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43,412856</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191.594-1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310000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684412,79</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-374412,79</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-2,592514897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120,7783194</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397.225-9</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450000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257520,56</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192479,44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1,24445306</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-42,77320889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384.103-1</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550000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589450,84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-39450,84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-0,325349816</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7,17288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429.262-6</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809400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568342,88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241057,12</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1,573247479</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-29,78219916</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147.693-9</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186000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164708,96</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21291,04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0,085777088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-11,4467957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3549496</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599940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625556,54</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-25616,54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-0,231713383</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4,269850318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3549607</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650000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659962,15</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-9962,15</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-0,125757807</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1,532638462</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3549798</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650000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673841,69</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-23841,69</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-0,219700443</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3,667952308</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3549844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715000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678468,2</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36531,8</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0,18893304</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-5,109342657</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3549933</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664400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687721,22</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-23321,22</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-0,21617768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3,510117399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3551008</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732000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659962,15</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72037,85</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0,429253103</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-9,841236339</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3551474</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664400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678344,7</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-13944,7</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-0,152713401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2,09884106</w:t>
            </w:r>
          </w:p>
        </w:tc>
      </w:tr>
      <w:tr>
        <w:trPr>
          <w:trHeight w:val="312" w:hRule="atLeast"/>
        </w:trPr>
        <w:tc>
          <w:tcPr>
            <w:tcW w:w="1659" w:type="dxa"/>
            <w:tcBorders>
              <w:left w:val="single" w:sz="12" w:space="0" w:color="000000"/>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3551512</w:t>
            </w:r>
          </w:p>
        </w:tc>
        <w:tc>
          <w:tcPr>
            <w:tcW w:w="4081"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600000</w:t>
            </w:r>
          </w:p>
        </w:tc>
        <w:tc>
          <w:tcPr>
            <w:tcW w:w="16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683066,98</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-83066,98</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-0,62056242</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13,84449667</w:t>
            </w:r>
          </w:p>
        </w:tc>
      </w:tr>
      <w:tr>
        <w:trPr>
          <w:trHeight w:val="312" w:hRule="atLeast"/>
        </w:trPr>
        <w:tc>
          <w:tcPr>
            <w:tcW w:w="1659" w:type="dxa"/>
            <w:tcBorders/>
            <w:vAlign w:val="bottom"/>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r>
          </w:p>
        </w:tc>
        <w:tc>
          <w:tcPr>
            <w:tcW w:w="4081" w:type="dxa"/>
            <w:tcBorders/>
            <w:vAlign w:val="center"/>
          </w:tcPr>
          <w:p>
            <w:pPr>
              <w:pStyle w:val="Normal"/>
              <w:suppressAutoHyphens w:val="false"/>
              <w:spacing w:lineRule="auto" w:line="240"/>
              <w:ind w:hanging="0"/>
              <w:jc w:val="left"/>
              <w:rPr>
                <w:rFonts w:ascii="Times New Roman" w:hAnsi="Times New Roman"/>
                <w:sz w:val="20"/>
                <w:szCs w:val="20"/>
              </w:rPr>
            </w:pPr>
            <w:r>
              <w:rPr>
                <w:rFonts w:ascii="Times New Roman" w:hAnsi="Times New Roman"/>
                <w:sz w:val="20"/>
                <w:szCs w:val="20"/>
              </w:rPr>
            </w:r>
          </w:p>
        </w:tc>
        <w:tc>
          <w:tcPr>
            <w:tcW w:w="1660" w:type="dxa"/>
            <w:tcBorders>
              <w:left w:val="single" w:sz="12" w:space="0" w:color="000000"/>
              <w:bottom w:val="single" w:sz="12" w:space="0" w:color="000000"/>
              <w:right w:val="single" w:sz="12" w:space="0" w:color="000000"/>
            </w:tcBorders>
            <w:vAlign w:val="bottom"/>
          </w:tcPr>
          <w:p>
            <w:pPr>
              <w:pStyle w:val="Normal"/>
              <w:suppressAutoHyphens w:val="false"/>
              <w:spacing w:lineRule="auto" w:line="240"/>
              <w:ind w:hanging="0"/>
              <w:jc w:val="left"/>
              <w:rPr>
                <w:rFonts w:ascii="Aptos Narrow" w:hAnsi="Aptos Narrow"/>
                <w:b/>
                <w:bCs/>
                <w:color w:val="000000"/>
                <w:sz w:val="22"/>
                <w:szCs w:val="22"/>
              </w:rPr>
            </w:pPr>
            <w:r>
              <w:rPr>
                <w:rFonts w:ascii="Aptos Narrow" w:hAnsi="Aptos Narrow"/>
                <w:b/>
                <w:bCs/>
                <w:color w:val="000000"/>
                <w:sz w:val="22"/>
                <w:szCs w:val="22"/>
              </w:rPr>
              <w:t>MÉDIA</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8617,917554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-7,24058E-18</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-5,39866836</w:t>
            </w:r>
          </w:p>
        </w:tc>
      </w:tr>
      <w:tr>
        <w:trPr>
          <w:trHeight w:val="312" w:hRule="atLeast"/>
        </w:trPr>
        <w:tc>
          <w:tcPr>
            <w:tcW w:w="1659" w:type="dxa"/>
            <w:tcBorders/>
            <w:vAlign w:val="bottom"/>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r>
          </w:p>
        </w:tc>
        <w:tc>
          <w:tcPr>
            <w:tcW w:w="4081" w:type="dxa"/>
            <w:tcBorders/>
            <w:vAlign w:val="center"/>
          </w:tcPr>
          <w:p>
            <w:pPr>
              <w:pStyle w:val="Normal"/>
              <w:suppressAutoHyphens w:val="false"/>
              <w:spacing w:lineRule="auto" w:line="240"/>
              <w:ind w:hanging="0"/>
              <w:jc w:val="left"/>
              <w:rPr>
                <w:rFonts w:ascii="Times New Roman" w:hAnsi="Times New Roman"/>
                <w:sz w:val="20"/>
                <w:szCs w:val="20"/>
              </w:rPr>
            </w:pPr>
            <w:r>
              <w:rPr>
                <w:rFonts w:ascii="Times New Roman" w:hAnsi="Times New Roman"/>
                <w:sz w:val="20"/>
                <w:szCs w:val="20"/>
              </w:rPr>
            </w:r>
          </w:p>
        </w:tc>
        <w:tc>
          <w:tcPr>
            <w:tcW w:w="1660" w:type="dxa"/>
            <w:tcBorders>
              <w:left w:val="single" w:sz="12" w:space="0" w:color="000000"/>
              <w:bottom w:val="single" w:sz="12" w:space="0" w:color="000000"/>
              <w:right w:val="single" w:sz="12" w:space="0" w:color="000000"/>
            </w:tcBorders>
            <w:vAlign w:val="bottom"/>
          </w:tcPr>
          <w:p>
            <w:pPr>
              <w:pStyle w:val="Normal"/>
              <w:suppressAutoHyphens w:val="false"/>
              <w:spacing w:lineRule="auto" w:line="240"/>
              <w:ind w:hanging="0"/>
              <w:jc w:val="left"/>
              <w:rPr>
                <w:rFonts w:ascii="Aptos Narrow" w:hAnsi="Aptos Narrow"/>
                <w:b/>
                <w:bCs/>
                <w:color w:val="000000"/>
                <w:sz w:val="22"/>
                <w:szCs w:val="22"/>
              </w:rPr>
            </w:pPr>
            <w:r>
              <w:rPr>
                <w:rFonts w:ascii="Aptos Narrow" w:hAnsi="Aptos Narrow"/>
                <w:b/>
                <w:bCs/>
                <w:color w:val="000000"/>
                <w:sz w:val="22"/>
                <w:szCs w:val="22"/>
              </w:rPr>
              <w:t>DESVIO PADRÃO</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147744,8434</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34,54832108</w:t>
            </w:r>
          </w:p>
        </w:tc>
      </w:tr>
      <w:tr>
        <w:trPr>
          <w:trHeight w:val="312" w:hRule="atLeast"/>
        </w:trPr>
        <w:tc>
          <w:tcPr>
            <w:tcW w:w="1659" w:type="dxa"/>
            <w:tcBorders/>
            <w:vAlign w:val="bottom"/>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r>
          </w:p>
        </w:tc>
        <w:tc>
          <w:tcPr>
            <w:tcW w:w="4081" w:type="dxa"/>
            <w:tcBorders/>
            <w:vAlign w:val="center"/>
          </w:tcPr>
          <w:p>
            <w:pPr>
              <w:pStyle w:val="Normal"/>
              <w:suppressAutoHyphens w:val="false"/>
              <w:spacing w:lineRule="auto" w:line="240"/>
              <w:ind w:hanging="0"/>
              <w:jc w:val="left"/>
              <w:rPr>
                <w:rFonts w:ascii="Times New Roman" w:hAnsi="Times New Roman"/>
                <w:sz w:val="20"/>
                <w:szCs w:val="20"/>
              </w:rPr>
            </w:pPr>
            <w:r>
              <w:rPr>
                <w:rFonts w:ascii="Times New Roman" w:hAnsi="Times New Roman"/>
                <w:sz w:val="20"/>
                <w:szCs w:val="20"/>
              </w:rPr>
            </w:r>
          </w:p>
        </w:tc>
        <w:tc>
          <w:tcPr>
            <w:tcW w:w="1660" w:type="dxa"/>
            <w:tcBorders>
              <w:left w:val="single" w:sz="12" w:space="0" w:color="000000"/>
              <w:bottom w:val="single" w:sz="12" w:space="0" w:color="000000"/>
              <w:right w:val="single" w:sz="12" w:space="0" w:color="000000"/>
            </w:tcBorders>
            <w:vAlign w:val="bottom"/>
          </w:tcPr>
          <w:p>
            <w:pPr>
              <w:pStyle w:val="Normal"/>
              <w:suppressAutoHyphens w:val="false"/>
              <w:spacing w:lineRule="auto" w:line="240"/>
              <w:ind w:hanging="0"/>
              <w:jc w:val="left"/>
              <w:rPr>
                <w:rFonts w:ascii="Aptos Narrow" w:hAnsi="Aptos Narrow"/>
                <w:b/>
                <w:bCs/>
                <w:color w:val="000000"/>
                <w:sz w:val="22"/>
                <w:szCs w:val="22"/>
              </w:rPr>
            </w:pPr>
            <w:r>
              <w:rPr>
                <w:rFonts w:ascii="Aptos Narrow" w:hAnsi="Aptos Narrow"/>
                <w:b/>
                <w:bCs/>
                <w:color w:val="000000"/>
                <w:sz w:val="22"/>
                <w:szCs w:val="22"/>
              </w:rPr>
              <w:t>MEDIANA</w:t>
            </w:r>
          </w:p>
        </w:tc>
        <w:tc>
          <w:tcPr>
            <w:tcW w:w="152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32060,66</w:t>
            </w:r>
          </w:p>
        </w:tc>
        <w:tc>
          <w:tcPr>
            <w:tcW w:w="1460"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0,158670461</w:t>
            </w:r>
          </w:p>
        </w:tc>
        <w:tc>
          <w:tcPr>
            <w:tcW w:w="1959" w:type="dxa"/>
            <w:tcBorders>
              <w:bottom w:val="single" w:sz="12" w:space="0" w:color="000000"/>
              <w:right w:val="single" w:sz="12" w:space="0" w:color="000000"/>
            </w:tcBorders>
            <w:vAlign w:val="center"/>
          </w:tcPr>
          <w:p>
            <w:pPr>
              <w:pStyle w:val="Normal"/>
              <w:suppressAutoHyphens w:val="false"/>
              <w:spacing w:lineRule="auto" w:line="240"/>
              <w:ind w:hanging="0"/>
              <w:jc w:val="center"/>
              <w:rPr>
                <w:rFonts w:ascii="Aptos Narrow" w:hAnsi="Aptos Narrow"/>
                <w:color w:val="000000"/>
                <w:sz w:val="22"/>
                <w:szCs w:val="22"/>
              </w:rPr>
            </w:pPr>
            <w:r>
              <w:rPr>
                <w:rFonts w:ascii="Aptos Narrow" w:hAnsi="Aptos Narrow"/>
                <w:color w:val="000000"/>
                <w:sz w:val="22"/>
                <w:szCs w:val="22"/>
              </w:rPr>
              <w:t>-9,158884005</w:t>
            </w:r>
          </w:p>
        </w:tc>
      </w:tr>
    </w:tbl>
    <w:p>
      <w:pPr>
        <w:sectPr>
          <w:headerReference w:type="default" r:id="rId22"/>
          <w:headerReference w:type="first" r:id="rId23"/>
          <w:footerReference w:type="default" r:id="rId24"/>
          <w:footerReference w:type="first" r:id="rId25"/>
          <w:type w:val="nextPage"/>
          <w:pgSz w:orient="landscape" w:w="16838" w:h="11906"/>
          <w:pgMar w:left="1701" w:right="1134" w:gutter="0" w:header="709" w:top="1701" w:footer="709" w:bottom="1134"/>
          <w:pgNumType w:fmt="decimal"/>
          <w:formProt w:val="false"/>
          <w:titlePg/>
          <w:textDirection w:val="lrTb"/>
          <w:docGrid w:type="default" w:linePitch="360" w:charSpace="0"/>
        </w:sectPr>
      </w:pPr>
    </w:p>
    <w:p>
      <w:pPr>
        <w:pStyle w:val="Normal"/>
        <w:ind w:hanging="0"/>
        <w:rPr>
          <w:rFonts w:cs="Arial"/>
        </w:rPr>
      </w:pPr>
      <w:r>
        <w:rPr>
          <w:rFonts w:cs="Arial"/>
        </w:rPr>
        <w:tab/>
        <w:t xml:space="preserve">Ao final da </w:t>
      </w:r>
      <w:r>
        <w:rPr>
          <w:rFonts w:cs="Arial"/>
        </w:rPr>
        <w:fldChar w:fldCharType="begin"/>
      </w:r>
      <w:r>
        <w:rPr>
          <w:rFonts w:cs="Arial"/>
        </w:rPr>
        <w:instrText xml:space="preserve"> REF Ref_Tabela3_label_and_number \h </w:instrText>
      </w:r>
      <w:r>
        <w:rPr>
          <w:rFonts w:cs="Arial"/>
        </w:rPr>
        <w:fldChar w:fldCharType="separate"/>
      </w:r>
      <w:r>
        <w:rPr>
          <w:rFonts w:cs="Arial"/>
        </w:rPr>
        <w:t>Tabela 4</w:t>
      </w:r>
      <w:r>
        <w:rPr>
          <w:rFonts w:cs="Arial"/>
        </w:rPr>
        <w:fldChar w:fldCharType="end"/>
      </w:r>
      <w:r>
        <w:rPr>
          <w:rFonts w:cs="Arial"/>
        </w:rPr>
        <w:t xml:space="preserve">, apresenta-se estatísticas descritivas, como a média, mediana, soma e desvio-padrão, na qual pode-se verificar que os dados consultados no OMI em 04/05/2026 assemelham-se aos valores de avaliação do auditor, dado os ajustes efetuados, majoritariamente nos valores de CUB de referência. </w:t>
      </w:r>
    </w:p>
    <w:p>
      <w:pPr>
        <w:pStyle w:val="Normal"/>
        <w:ind w:hanging="0"/>
        <w:rPr>
          <w:rFonts w:cs="Arial"/>
        </w:rPr>
      </w:pPr>
      <w:r>
        <w:rPr>
          <w:rFonts w:cs="Arial"/>
        </w:rPr>
        <w:tab/>
        <w:t xml:space="preserve">Já na coluna de resíduos percentuais, a tabela exprime resíduos percentuais absolutos denotando outliers positivos e negativos que carecem de maiores detalhamentos. Estes resíduos percentuais, uma vez organizados num histograma, Figura 16, revelam que os desvio-padrão alocam-se entre -39% e + 21%, com média próxima de zero, por fim e que todas as colunas representadas em branco constituiriam dados ‘normais’. </w:t>
      </w:r>
    </w:p>
    <w:p>
      <w:pPr>
        <w:pStyle w:val="Normal"/>
        <w:ind w:hanging="0"/>
        <w:rPr>
          <w:rFonts w:cs="Arial"/>
        </w:rPr>
      </w:pPr>
      <w:r>
        <w:rPr>
          <w:rFonts w:cs="Arial"/>
        </w:rPr>
      </w:r>
    </w:p>
    <w:p>
      <w:pPr>
        <w:pStyle w:val="Normal"/>
        <w:spacing w:lineRule="auto" w:line="240"/>
        <w:ind w:hanging="0"/>
        <w:rPr/>
      </w:pPr>
      <w:bookmarkStart w:id="38" w:name="_Toc230704348"/>
      <w:bookmarkStart w:id="39" w:name="Ref_Figura9_label_and_number"/>
      <w:r>
        <w:rPr>
          <w:rFonts w:cs="Arial"/>
          <w:sz w:val="20"/>
          <w:szCs w:val="20"/>
        </w:rPr>
        <w:t xml:space="preserve">Figura </w:t>
      </w:r>
      <w:r>
        <w:rPr>
          <w:rFonts w:cs="Arial"/>
          <w:sz w:val="20"/>
          <w:szCs w:val="20"/>
        </w:rPr>
        <w:fldChar w:fldCharType="begin"/>
      </w:r>
      <w:r>
        <w:rPr>
          <w:sz w:val="20"/>
          <w:szCs w:val="20"/>
          <w:rFonts w:cs="Arial"/>
        </w:rPr>
        <w:instrText xml:space="preserve"> SEQ Figura \* ARABIC </w:instrText>
      </w:r>
      <w:r>
        <w:rPr>
          <w:sz w:val="20"/>
          <w:szCs w:val="20"/>
          <w:rFonts w:cs="Arial"/>
        </w:rPr>
        <w:fldChar w:fldCharType="separate"/>
      </w:r>
      <w:r>
        <w:rPr>
          <w:sz w:val="20"/>
          <w:szCs w:val="20"/>
          <w:rFonts w:cs="Arial"/>
        </w:rPr>
        <w:t>9</w:t>
      </w:r>
      <w:r>
        <w:rPr>
          <w:sz w:val="20"/>
          <w:szCs w:val="20"/>
          <w:rFonts w:cs="Arial"/>
        </w:rPr>
        <w:fldChar w:fldCharType="end"/>
      </w:r>
      <w:bookmarkEnd w:id="39"/>
      <w:r>
        <w:rPr>
          <w:rFonts w:cs="Arial"/>
          <w:sz w:val="20"/>
          <w:szCs w:val="20"/>
        </w:rPr>
        <w:t xml:space="preserve"> </w:t>
      </w:r>
      <w:r>
        <w:rPr>
          <w:rFonts w:cs="Arial"/>
          <w:sz w:val="20"/>
          <w:szCs w:val="20"/>
        </w:rPr>
        <w:t>– Histograma dos resíduos percentuais para apartamentos e salas comerciais.</w:t>
      </w:r>
      <w:bookmarkEnd w:id="38"/>
    </w:p>
    <w:p>
      <w:pPr>
        <w:pStyle w:val="Normal"/>
        <w:ind w:hanging="0"/>
        <w:jc w:val="center"/>
        <w:rPr>
          <w:rFonts w:cs="Arial"/>
        </w:rPr>
      </w:pPr>
      <w:r>
        <w:rPr/>
        <w:drawing>
          <wp:inline distT="0" distB="0" distL="0" distR="0">
            <wp:extent cx="4740910" cy="1402715"/>
            <wp:effectExtent l="0" t="0" r="0" b="0"/>
            <wp:docPr id="41"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a5" descr=""/>
                    <pic:cNvPicPr>
                      <a:picLocks noChangeAspect="1" noChangeArrowheads="1"/>
                    </pic:cNvPicPr>
                  </pic:nvPicPr>
                  <pic:blipFill>
                    <a:blip r:embed="rId26"/>
                    <a:stretch>
                      <a:fillRect/>
                    </a:stretch>
                  </pic:blipFill>
                  <pic:spPr bwMode="auto">
                    <a:xfrm>
                      <a:off x="0" y="0"/>
                      <a:ext cx="4740910" cy="1402715"/>
                    </a:xfrm>
                    <a:prstGeom prst="rect">
                      <a:avLst/>
                    </a:prstGeom>
                  </pic:spPr>
                </pic:pic>
              </a:graphicData>
            </a:graphic>
          </wp:inline>
        </w:drawing>
      </w:r>
    </w:p>
    <w:p>
      <w:pPr>
        <w:pStyle w:val="Normal"/>
        <w:ind w:hanging="0"/>
        <w:rPr>
          <w:rFonts w:cs="Arial"/>
        </w:rPr>
      </w:pPr>
      <w:r>
        <w:rPr>
          <w:rFonts w:cs="Arial"/>
        </w:rPr>
      </w:r>
    </w:p>
    <w:p>
      <w:pPr>
        <w:pStyle w:val="Normal"/>
        <w:ind w:hanging="0"/>
        <w:rPr>
          <w:rFonts w:cs="Arial"/>
        </w:rPr>
      </w:pPr>
      <w:r>
        <w:rPr>
          <w:rFonts w:cs="Arial"/>
        </w:rPr>
        <w:tab/>
        <w:t xml:space="preserve">Ademais, ainda conforme a </w:t>
      </w:r>
      <w:r>
        <w:rPr>
          <w:rFonts w:cs="Arial"/>
        </w:rPr>
        <w:fldChar w:fldCharType="begin"/>
      </w:r>
      <w:r>
        <w:rPr>
          <w:rFonts w:cs="Arial"/>
        </w:rPr>
        <w:instrText xml:space="preserve"> REF Ref_Figura9_label_and_number \h </w:instrText>
      </w:r>
      <w:r>
        <w:rPr>
          <w:rFonts w:cs="Arial"/>
        </w:rPr>
        <w:fldChar w:fldCharType="separate"/>
      </w:r>
      <w:r>
        <w:rPr>
          <w:rFonts w:cs="Arial"/>
        </w:rPr>
        <w:t>Figura 9</w:t>
      </w:r>
      <w:r>
        <w:rPr>
          <w:rFonts w:cs="Arial"/>
        </w:rPr>
        <w:fldChar w:fldCharType="end"/>
      </w:r>
      <w:r>
        <w:rPr>
          <w:rFonts w:cs="Arial"/>
        </w:rPr>
        <w:t xml:space="preserve">, observa-se que há uma cauda com acentuados desvios percentuais positivos, representados em cores quentes, ou seja, superestimativas do OMI. Já os percentuais negativos para além da normalidade, ou seja, outliers representativos de subestimativas do OMI, aparecem na cor azul. </w:t>
        <w:tab/>
      </w:r>
    </w:p>
    <w:p>
      <w:pPr>
        <w:pStyle w:val="Normal"/>
        <w:ind w:hanging="0"/>
        <w:rPr>
          <w:rFonts w:cs="Arial"/>
        </w:rPr>
      </w:pPr>
      <w:r>
        <w:rPr>
          <w:rFonts w:cs="Arial"/>
        </w:rPr>
        <w:tab/>
        <w:t xml:space="preserve">A </w:t>
      </w:r>
      <w:r>
        <w:rPr>
          <w:rFonts w:cs="Arial"/>
        </w:rPr>
        <w:fldChar w:fldCharType="begin"/>
      </w:r>
      <w:r>
        <w:rPr>
          <w:rFonts w:cs="Arial"/>
        </w:rPr>
        <w:instrText xml:space="preserve"> REF Ref_Figura10_label_and_number \h </w:instrText>
      </w:r>
      <w:r>
        <w:rPr>
          <w:rFonts w:cs="Arial"/>
        </w:rPr>
        <w:fldChar w:fldCharType="separate"/>
      </w:r>
      <w:r>
        <w:rPr>
          <w:rFonts w:cs="Arial"/>
        </w:rPr>
        <w:t>Figura 10</w:t>
      </w:r>
      <w:r>
        <w:rPr>
          <w:rFonts w:cs="Arial"/>
        </w:rPr>
        <w:fldChar w:fldCharType="end"/>
      </w:r>
      <w:r>
        <w:rPr>
          <w:rFonts w:cs="Arial"/>
        </w:rPr>
        <w:t xml:space="preserve"> apresenta a distribuição espacial do conjunto de apartamentos e salas constantes no relatório de achados de fevereiro, adotando-se a mesma padronização de cores definida na </w:t>
      </w:r>
      <w:r>
        <w:rPr>
          <w:rFonts w:cs="Arial"/>
        </w:rPr>
        <w:fldChar w:fldCharType="begin"/>
      </w:r>
      <w:r>
        <w:rPr>
          <w:rFonts w:cs="Arial"/>
        </w:rPr>
        <w:instrText xml:space="preserve"> REF Ref_Figura9_label_and_number \h </w:instrText>
      </w:r>
      <w:r>
        <w:rPr>
          <w:rFonts w:cs="Arial"/>
        </w:rPr>
        <w:fldChar w:fldCharType="separate"/>
      </w:r>
      <w:r>
        <w:rPr>
          <w:rFonts w:cs="Arial"/>
        </w:rPr>
        <w:t>Figura 9</w:t>
      </w:r>
      <w:r>
        <w:rPr>
          <w:rFonts w:cs="Arial"/>
        </w:rPr>
        <w:fldChar w:fldCharType="end"/>
      </w:r>
      <w:r>
        <w:rPr>
          <w:rFonts w:cs="Arial"/>
        </w:rPr>
        <w:t>. Observa-se predominância de pontos em branco, distribuídos de forma relativamente homogênea ao longo do território analisado, indicando que, na maior parte dos casos, as estimativas realizadas pelo OMI encontram-se compatíveis com os valores observados em mercado, sem evidências significativas de concentração de vieses espaciais.</w:t>
      </w:r>
    </w:p>
    <w:p>
      <w:pPr>
        <w:pStyle w:val="BodyText"/>
        <w:ind w:hanging="0"/>
        <w:rPr/>
      </w:pPr>
      <w:r>
        <w:rPr/>
        <w:tab/>
        <w:t>Os pontos destacados em vermelho e azul representam, respectivamente, ocorrências de subavaliação e superavaliação, concentrando-se principalmente em determinadas regiões centrais e periféricas do município. Tais ocorrências demandam análise individualizada das possíveis causas, considerando fatores como características específicas dos imóveis, influência locacional, disponibilidade de amostras e eventuais limitações das variáveis atualmente consideradas pelo sistema Geo360. Dessa forma, busca-se identificar se os desvios decorrem de situações pontuais ou da necessidade de aprimoramentos metodológicos no processo de avaliação automatizada.</w:t>
      </w:r>
    </w:p>
    <w:p>
      <w:pPr>
        <w:pStyle w:val="Normal"/>
        <w:ind w:hanging="0"/>
        <w:rPr/>
      </w:pPr>
      <w:bookmarkStart w:id="40" w:name="_Toc230704349"/>
      <w:bookmarkStart w:id="41" w:name="Ref_Figura10_label_and_number"/>
      <w:r>
        <w:rPr>
          <w:rFonts w:cs="Arial"/>
          <w:sz w:val="20"/>
          <w:szCs w:val="20"/>
        </w:rPr>
        <w:t xml:space="preserve">Figura </w:t>
      </w:r>
      <w:r>
        <w:rPr>
          <w:rFonts w:cs="Arial"/>
          <w:sz w:val="20"/>
          <w:szCs w:val="20"/>
        </w:rPr>
        <w:fldChar w:fldCharType="begin"/>
      </w:r>
      <w:r>
        <w:rPr>
          <w:sz w:val="20"/>
          <w:szCs w:val="20"/>
          <w:rFonts w:cs="Arial"/>
        </w:rPr>
        <w:instrText xml:space="preserve"> SEQ Figura \* ARABIC </w:instrText>
      </w:r>
      <w:r>
        <w:rPr>
          <w:sz w:val="20"/>
          <w:szCs w:val="20"/>
          <w:rFonts w:cs="Arial"/>
        </w:rPr>
        <w:fldChar w:fldCharType="separate"/>
      </w:r>
      <w:r>
        <w:rPr>
          <w:sz w:val="20"/>
          <w:szCs w:val="20"/>
          <w:rFonts w:cs="Arial"/>
        </w:rPr>
        <w:t>10</w:t>
      </w:r>
      <w:r>
        <w:rPr>
          <w:sz w:val="20"/>
          <w:szCs w:val="20"/>
          <w:rFonts w:cs="Arial"/>
        </w:rPr>
        <w:fldChar w:fldCharType="end"/>
      </w:r>
      <w:bookmarkEnd w:id="41"/>
      <w:r>
        <w:rPr>
          <w:rFonts w:cs="Arial"/>
          <w:sz w:val="20"/>
          <w:szCs w:val="20"/>
        </w:rPr>
        <w:t xml:space="preserve"> </w:t>
      </w:r>
      <w:r>
        <w:rPr>
          <w:rFonts w:cs="Arial"/>
          <w:sz w:val="20"/>
          <w:szCs w:val="20"/>
        </w:rPr>
        <w:t>– Localização dos apartamentos e salas avaliados e sua rotulagem de resíduos.</w:t>
      </w:r>
      <w:bookmarkEnd w:id="40"/>
    </w:p>
    <w:p>
      <w:pPr>
        <w:pStyle w:val="Normal"/>
        <w:ind w:hanging="0"/>
        <w:jc w:val="center"/>
        <w:rPr>
          <w:rFonts w:cs="Arial"/>
        </w:rPr>
      </w:pPr>
      <w:r>
        <w:rPr/>
        <w:drawing>
          <wp:inline distT="0" distB="0" distL="0" distR="0">
            <wp:extent cx="3830320" cy="5416550"/>
            <wp:effectExtent l="0" t="0" r="0" b="0"/>
            <wp:docPr id="42"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a6" descr=""/>
                    <pic:cNvPicPr>
                      <a:picLocks noChangeAspect="1" noChangeArrowheads="1"/>
                    </pic:cNvPicPr>
                  </pic:nvPicPr>
                  <pic:blipFill>
                    <a:blip r:embed="rId27"/>
                    <a:stretch>
                      <a:fillRect/>
                    </a:stretch>
                  </pic:blipFill>
                  <pic:spPr bwMode="auto">
                    <a:xfrm>
                      <a:off x="0" y="0"/>
                      <a:ext cx="3830320" cy="5416550"/>
                    </a:xfrm>
                    <a:prstGeom prst="rect">
                      <a:avLst/>
                    </a:prstGeom>
                  </pic:spPr>
                </pic:pic>
              </a:graphicData>
            </a:graphic>
          </wp:inline>
        </w:drawing>
      </w:r>
    </w:p>
    <w:p>
      <w:pPr>
        <w:pStyle w:val="Normal"/>
        <w:ind w:firstLine="1134"/>
        <w:rPr>
          <w:rFonts w:cs="Arial"/>
        </w:rPr>
      </w:pPr>
      <w:r>
        <w:rPr>
          <w:rFonts w:cs="Arial"/>
        </w:rPr>
      </w:r>
    </w:p>
    <w:p>
      <w:pPr>
        <w:pStyle w:val="Normal"/>
        <w:ind w:hanging="0"/>
        <w:rPr/>
      </w:pPr>
      <w:r>
        <w:rPr/>
        <w:tab/>
        <w:t xml:space="preserve">Ressalta-se, ainda, que os devidos ajustes e calibrações serão realizados com base na análise dos pontos subestimados e superestimados identificados no mapa, de modo a promover maior aderência entre os valores estimados pelo sistema e a realidade observada no mercado imobiliário. A revisão dessas inconsistências contribuirá para o refinamento contínuo do modelo de avaliação, reduzindo distorções e aumentando a confiabilidade dos resultados produzidos pelo Geo360. </w:t>
      </w:r>
      <w:r>
        <w:br w:type="page"/>
      </w:r>
    </w:p>
    <w:p>
      <w:pPr>
        <w:pStyle w:val="Normal"/>
        <w:spacing w:before="0" w:after="0"/>
        <w:ind w:firstLine="1134"/>
        <w:rPr>
          <w:rFonts w:cs="Arial"/>
        </w:rPr>
      </w:pPr>
      <w:r>
        <w:rPr>
          <w:rFonts w:cs="Arial"/>
        </w:rPr>
      </w:r>
    </w:p>
    <w:p>
      <w:pPr>
        <w:pStyle w:val="Heading3"/>
        <w:numPr>
          <w:ilvl w:val="0"/>
          <w:numId w:val="0"/>
        </w:numPr>
        <w:ind w:hanging="0" w:left="0"/>
        <w:rPr>
          <w:b/>
          <w:bCs/>
        </w:rPr>
      </w:pPr>
      <w:bookmarkStart w:id="42" w:name="__RefHeading___Toc12827_1774815877"/>
      <w:bookmarkStart w:id="43" w:name="_Toc230704178"/>
      <w:bookmarkEnd w:id="42"/>
      <w:r>
        <w:rPr>
          <w:b/>
          <w:bCs/>
        </w:rPr>
        <w:t>5.1 Segundo conjunto amostral de apartamentos/salas</w:t>
      </w:r>
      <w:bookmarkEnd w:id="43"/>
    </w:p>
    <w:p>
      <w:pPr>
        <w:pStyle w:val="Normal"/>
        <w:tabs>
          <w:tab w:val="clear" w:pos="708"/>
          <w:tab w:val="left" w:pos="5245" w:leader="none"/>
        </w:tabs>
        <w:ind w:firstLine="1134"/>
        <w:rPr>
          <w:rFonts w:cs="Arial"/>
        </w:rPr>
      </w:pPr>
      <w:r>
        <w:rPr/>
        <w:t>Foi encaminhado um segundo conjunto amostral referente a condomínios de apartamentos ou salas, identificado como composto por amostras provenientes da internet, totalizando 2359 registros contendo informações de área, valores e bairro. Contudo, observou-se que apenas 329 possuíam a data da inclusão recente. Destas, foi possível identificar adequadamente 95 registros (</w:t>
      </w:r>
      <w:r>
        <w:rPr/>
        <w:fldChar w:fldCharType="begin"/>
      </w:r>
      <w:r>
        <w:rPr/>
        <w:instrText xml:space="preserve"> REF Ref_Tabela4_label_and_number \h </w:instrText>
      </w:r>
      <w:r>
        <w:rPr/>
        <w:fldChar w:fldCharType="separate"/>
      </w:r>
      <w:r>
        <w:rPr/>
        <w:t>Tabela 5</w:t>
      </w:r>
      <w:r>
        <w:rPr/>
        <w:fldChar w:fldCharType="end"/>
      </w:r>
      <w:r>
        <w:rPr/>
        <w:t>)</w:t>
      </w:r>
      <w:r>
        <w:rPr/>
        <w:t>, os quais subsidiaram a realização de análise comparativa entre o VM2 dos pontos amostrais e o VM2 correspondente da Planta de Valores Genéricos (PVG) vigente.</w:t>
      </w:r>
    </w:p>
    <w:p>
      <w:pPr>
        <w:pStyle w:val="Normal"/>
        <w:tabs>
          <w:tab w:val="clear" w:pos="708"/>
          <w:tab w:val="left" w:pos="5245" w:leader="none"/>
        </w:tabs>
        <w:ind w:firstLine="1134"/>
        <w:jc w:val="center"/>
        <w:rPr>
          <w:rFonts w:cs="Arial"/>
          <w:sz w:val="20"/>
          <w:szCs w:val="20"/>
        </w:rPr>
      </w:pPr>
      <w:r>
        <w:rPr>
          <w:rFonts w:cs="Arial"/>
          <w:sz w:val="20"/>
          <w:szCs w:val="20"/>
        </w:rPr>
      </w:r>
    </w:p>
    <w:p>
      <w:pPr>
        <w:pStyle w:val="Caption1"/>
        <w:keepNext w:val="true"/>
        <w:jc w:val="center"/>
        <w:rPr>
          <w:rFonts w:ascii="Arial" w:hAnsi="Arial" w:cs="Arial"/>
          <w:i w:val="false"/>
          <w:i w:val="false"/>
          <w:iCs w:val="false"/>
          <w:sz w:val="20"/>
          <w:szCs w:val="20"/>
        </w:rPr>
      </w:pPr>
      <w:bookmarkStart w:id="44" w:name="_Toc230704356"/>
      <w:bookmarkStart w:id="45" w:name="Ref_Tabela4_label_and_number"/>
      <w:r>
        <w:rPr>
          <w:rFonts w:cs="Arial" w:ascii="Arial" w:hAnsi="Arial"/>
          <w:i w:val="false"/>
          <w:iCs w:val="false"/>
          <w:sz w:val="20"/>
          <w:szCs w:val="20"/>
        </w:rPr>
        <w:t xml:space="preserve">Tabela </w:t>
      </w:r>
      <w:r>
        <w:rPr>
          <w:rFonts w:cs="Arial" w:ascii="Arial" w:hAnsi="Arial"/>
          <w:i w:val="false"/>
          <w:iCs w:val="false"/>
          <w:sz w:val="20"/>
          <w:szCs w:val="20"/>
        </w:rPr>
        <w:fldChar w:fldCharType="begin"/>
      </w:r>
      <w:r>
        <w:rPr>
          <w:sz w:val="20"/>
          <w:i w:val="false"/>
          <w:szCs w:val="20"/>
          <w:iCs w:val="false"/>
          <w:rFonts w:cs="Arial" w:ascii="Arial" w:hAnsi="Arial"/>
        </w:rPr>
        <w:instrText xml:space="preserve"> SEQ Tabela \* ARABIC </w:instrText>
      </w:r>
      <w:r>
        <w:rPr>
          <w:sz w:val="20"/>
          <w:i w:val="false"/>
          <w:szCs w:val="20"/>
          <w:iCs w:val="false"/>
          <w:rFonts w:cs="Arial" w:ascii="Arial" w:hAnsi="Arial"/>
        </w:rPr>
        <w:fldChar w:fldCharType="separate"/>
      </w:r>
      <w:r>
        <w:rPr>
          <w:sz w:val="20"/>
          <w:i w:val="false"/>
          <w:szCs w:val="20"/>
          <w:iCs w:val="false"/>
          <w:rFonts w:cs="Arial" w:ascii="Arial" w:hAnsi="Arial"/>
        </w:rPr>
        <w:t>5</w:t>
      </w:r>
      <w:r>
        <w:rPr>
          <w:sz w:val="20"/>
          <w:i w:val="false"/>
          <w:szCs w:val="20"/>
          <w:iCs w:val="false"/>
          <w:rFonts w:cs="Arial" w:ascii="Arial" w:hAnsi="Arial"/>
        </w:rPr>
        <w:fldChar w:fldCharType="end"/>
      </w:r>
      <w:bookmarkEnd w:id="45"/>
      <w:r>
        <w:rPr>
          <w:rFonts w:cs="Arial" w:ascii="Arial" w:hAnsi="Arial"/>
          <w:i w:val="false"/>
          <w:iCs w:val="false"/>
          <w:sz w:val="20"/>
          <w:szCs w:val="20"/>
        </w:rPr>
        <w:t xml:space="preserve"> </w:t>
      </w:r>
      <w:r>
        <w:rPr>
          <w:rFonts w:cs="Arial" w:ascii="Arial" w:hAnsi="Arial"/>
          <w:i w:val="false"/>
          <w:iCs w:val="false"/>
          <w:sz w:val="20"/>
          <w:szCs w:val="20"/>
        </w:rPr>
        <w:t>- Comparação dos valores das amostras de apartamentos/salas por condomínio com o OMI</w:t>
      </w:r>
      <w:bookmarkEnd w:id="44"/>
    </w:p>
    <w:tbl>
      <w:tblPr>
        <w:tblW w:w="9312" w:type="dxa"/>
        <w:jc w:val="left"/>
        <w:tblInd w:w="129" w:type="dxa"/>
        <w:tblLayout w:type="fixed"/>
        <w:tblCellMar>
          <w:top w:w="0" w:type="dxa"/>
          <w:left w:w="70" w:type="dxa"/>
          <w:bottom w:w="0" w:type="dxa"/>
          <w:right w:w="70" w:type="dxa"/>
        </w:tblCellMar>
        <w:tblLook w:firstRow="1" w:noVBand="1" w:lastRow="0" w:firstColumn="1" w:lastColumn="0" w:noHBand="0" w:val="04a0"/>
      </w:tblPr>
      <w:tblGrid>
        <w:gridCol w:w="2384"/>
        <w:gridCol w:w="1440"/>
        <w:gridCol w:w="1552"/>
        <w:gridCol w:w="1584"/>
        <w:gridCol w:w="976"/>
        <w:gridCol w:w="1376"/>
      </w:tblGrid>
      <w:tr>
        <w:trPr>
          <w:trHeight w:val="576" w:hRule="atLeast"/>
        </w:trPr>
        <w:tc>
          <w:tcPr>
            <w:tcW w:w="2384" w:type="dxa"/>
            <w:tcBorders>
              <w:top w:val="single" w:sz="4" w:space="0" w:color="000000"/>
              <w:left w:val="single" w:sz="4" w:space="0" w:color="000000"/>
              <w:bottom w:val="single" w:sz="4" w:space="0" w:color="000000"/>
              <w:right w:val="single" w:sz="4" w:space="0" w:color="000000"/>
            </w:tcBorders>
            <w:shd w:color="000000" w:fill="D9E1F2" w:val="clear"/>
            <w:vAlign w:val="center"/>
          </w:tcPr>
          <w:p>
            <w:pPr>
              <w:pStyle w:val="Normal"/>
              <w:suppressAutoHyphens w:val="false"/>
              <w:spacing w:lineRule="auto" w:line="240"/>
              <w:ind w:hanging="0"/>
              <w:jc w:val="center"/>
              <w:rPr>
                <w:rFonts w:ascii="Calibri" w:hAnsi="Calibri" w:cs="Calibri"/>
                <w:b/>
                <w:bCs/>
                <w:color w:val="000000"/>
                <w:sz w:val="22"/>
                <w:szCs w:val="22"/>
              </w:rPr>
            </w:pPr>
            <w:r>
              <w:rPr>
                <w:rFonts w:cs="Calibri" w:ascii="Calibri" w:hAnsi="Calibri"/>
                <w:b/>
                <w:bCs/>
                <w:color w:val="000000"/>
                <w:sz w:val="22"/>
                <w:szCs w:val="22"/>
              </w:rPr>
              <w:t>Nome do Empreendimento</w:t>
            </w:r>
          </w:p>
        </w:tc>
        <w:tc>
          <w:tcPr>
            <w:tcW w:w="1440" w:type="dxa"/>
            <w:tcBorders>
              <w:top w:val="single" w:sz="4" w:space="0" w:color="000000"/>
              <w:bottom w:val="single" w:sz="4" w:space="0" w:color="000000"/>
              <w:right w:val="single" w:sz="4" w:space="0" w:color="000000"/>
            </w:tcBorders>
            <w:shd w:color="000000" w:fill="D9E1F2" w:val="clear"/>
            <w:vAlign w:val="center"/>
          </w:tcPr>
          <w:p>
            <w:pPr>
              <w:pStyle w:val="Normal"/>
              <w:suppressAutoHyphens w:val="false"/>
              <w:spacing w:lineRule="auto" w:line="240"/>
              <w:ind w:hanging="0"/>
              <w:jc w:val="center"/>
              <w:rPr>
                <w:rFonts w:ascii="Calibri" w:hAnsi="Calibri" w:cs="Calibri"/>
                <w:b/>
                <w:bCs/>
                <w:color w:val="000000"/>
                <w:sz w:val="22"/>
                <w:szCs w:val="22"/>
              </w:rPr>
            </w:pPr>
            <w:r>
              <w:rPr>
                <w:rFonts w:cs="Calibri" w:ascii="Calibri" w:hAnsi="Calibri"/>
                <w:b/>
                <w:bCs/>
                <w:color w:val="000000"/>
                <w:sz w:val="22"/>
                <w:szCs w:val="22"/>
              </w:rPr>
              <w:t>Mín. de valoramostra</w:t>
            </w:r>
          </w:p>
        </w:tc>
        <w:tc>
          <w:tcPr>
            <w:tcW w:w="1552" w:type="dxa"/>
            <w:tcBorders>
              <w:top w:val="single" w:sz="4" w:space="0" w:color="000000"/>
              <w:bottom w:val="single" w:sz="4" w:space="0" w:color="000000"/>
              <w:right w:val="single" w:sz="4" w:space="0" w:color="000000"/>
            </w:tcBorders>
            <w:shd w:color="000000" w:fill="D9E1F2" w:val="clear"/>
            <w:vAlign w:val="center"/>
          </w:tcPr>
          <w:p>
            <w:pPr>
              <w:pStyle w:val="Normal"/>
              <w:suppressAutoHyphens w:val="false"/>
              <w:spacing w:lineRule="auto" w:line="240"/>
              <w:ind w:hanging="0"/>
              <w:jc w:val="center"/>
              <w:rPr>
                <w:rFonts w:ascii="Calibri" w:hAnsi="Calibri" w:cs="Calibri"/>
                <w:b/>
                <w:bCs/>
                <w:color w:val="000000"/>
                <w:sz w:val="22"/>
                <w:szCs w:val="22"/>
              </w:rPr>
            </w:pPr>
            <w:r>
              <w:rPr>
                <w:rFonts w:cs="Calibri" w:ascii="Calibri" w:hAnsi="Calibri"/>
                <w:b/>
                <w:bCs/>
                <w:color w:val="000000"/>
                <w:sz w:val="22"/>
                <w:szCs w:val="22"/>
              </w:rPr>
              <w:t>Média de valoramostra</w:t>
            </w:r>
          </w:p>
        </w:tc>
        <w:tc>
          <w:tcPr>
            <w:tcW w:w="1584" w:type="dxa"/>
            <w:tcBorders>
              <w:top w:val="single" w:sz="4" w:space="0" w:color="000000"/>
              <w:bottom w:val="single" w:sz="4" w:space="0" w:color="000000"/>
              <w:right w:val="single" w:sz="4" w:space="0" w:color="000000"/>
            </w:tcBorders>
            <w:shd w:color="000000" w:fill="D9E1F2" w:val="clear"/>
            <w:vAlign w:val="center"/>
          </w:tcPr>
          <w:p>
            <w:pPr>
              <w:pStyle w:val="Normal"/>
              <w:suppressAutoHyphens w:val="false"/>
              <w:spacing w:lineRule="auto" w:line="240"/>
              <w:ind w:hanging="0"/>
              <w:jc w:val="center"/>
              <w:rPr>
                <w:rFonts w:ascii="Calibri" w:hAnsi="Calibri" w:cs="Calibri"/>
                <w:b/>
                <w:bCs/>
                <w:color w:val="000000"/>
                <w:sz w:val="22"/>
                <w:szCs w:val="22"/>
              </w:rPr>
            </w:pPr>
            <w:r>
              <w:rPr>
                <w:rFonts w:cs="Calibri" w:ascii="Calibri" w:hAnsi="Calibri"/>
                <w:b/>
                <w:bCs/>
                <w:color w:val="000000"/>
                <w:sz w:val="22"/>
                <w:szCs w:val="22"/>
              </w:rPr>
              <w:t>Máx. de valoramostra</w:t>
            </w:r>
          </w:p>
        </w:tc>
        <w:tc>
          <w:tcPr>
            <w:tcW w:w="976" w:type="dxa"/>
            <w:tcBorders>
              <w:top w:val="single" w:sz="4" w:space="0" w:color="000000"/>
              <w:bottom w:val="single" w:sz="4" w:space="0" w:color="000000"/>
              <w:right w:val="single" w:sz="4" w:space="0" w:color="000000"/>
            </w:tcBorders>
            <w:shd w:color="000000" w:fill="D9E1F2" w:val="clear"/>
            <w:vAlign w:val="center"/>
          </w:tcPr>
          <w:p>
            <w:pPr>
              <w:pStyle w:val="Normal"/>
              <w:suppressAutoHyphens w:val="false"/>
              <w:spacing w:lineRule="auto" w:line="240"/>
              <w:ind w:hanging="0"/>
              <w:jc w:val="center"/>
              <w:rPr>
                <w:rFonts w:ascii="Calibri" w:hAnsi="Calibri" w:cs="Calibri"/>
                <w:b/>
                <w:bCs/>
                <w:color w:val="000000"/>
                <w:sz w:val="22"/>
                <w:szCs w:val="22"/>
              </w:rPr>
            </w:pPr>
            <w:r>
              <w:rPr>
                <w:rFonts w:cs="Calibri" w:ascii="Calibri" w:hAnsi="Calibri"/>
                <w:b/>
                <w:bCs/>
                <w:color w:val="000000"/>
                <w:sz w:val="22"/>
                <w:szCs w:val="22"/>
              </w:rPr>
              <w:t>Contagem de id</w:t>
            </w:r>
          </w:p>
        </w:tc>
        <w:tc>
          <w:tcPr>
            <w:tcW w:w="1376" w:type="dxa"/>
            <w:tcBorders>
              <w:top w:val="single" w:sz="4" w:space="0" w:color="000000"/>
              <w:bottom w:val="single" w:sz="4" w:space="0" w:color="000000"/>
              <w:right w:val="single" w:sz="4" w:space="0" w:color="000000"/>
            </w:tcBorders>
            <w:shd w:color="000000" w:fill="D9E1F2" w:val="clear"/>
            <w:vAlign w:val="center"/>
          </w:tcPr>
          <w:p>
            <w:pPr>
              <w:pStyle w:val="Normal"/>
              <w:suppressAutoHyphens w:val="false"/>
              <w:spacing w:lineRule="auto" w:line="240"/>
              <w:ind w:hanging="0"/>
              <w:jc w:val="center"/>
              <w:rPr>
                <w:rFonts w:ascii="Calibri" w:hAnsi="Calibri" w:cs="Calibri"/>
                <w:b/>
                <w:bCs/>
                <w:color w:val="000000"/>
                <w:sz w:val="22"/>
                <w:szCs w:val="22"/>
              </w:rPr>
            </w:pPr>
            <w:r>
              <w:rPr>
                <w:rFonts w:cs="Calibri" w:ascii="Calibri" w:hAnsi="Calibri"/>
                <w:b/>
                <w:bCs/>
                <w:color w:val="000000"/>
                <w:sz w:val="22"/>
                <w:szCs w:val="22"/>
              </w:rPr>
              <w:t>Valor OMI</w:t>
            </w:r>
          </w:p>
        </w:tc>
      </w:tr>
      <w:tr>
        <w:trPr>
          <w:trHeight w:val="864"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JADE RESIDENCIAL VILLAGE LESTE III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135.000,00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cs="Arial"/>
                <w:color w:val="000000"/>
                <w:sz w:val="20"/>
                <w:szCs w:val="20"/>
              </w:rPr>
            </w:pPr>
            <w:r>
              <w:rPr>
                <w:rFonts w:cs="Arial"/>
                <w:color w:val="000000"/>
                <w:sz w:val="20"/>
                <w:szCs w:val="20"/>
              </w:rPr>
              <w:t>109.343,55</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ACAUA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4.300.000,00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5.133.333,33</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5.600.000,00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cs="Arial"/>
                <w:color w:val="000000"/>
                <w:sz w:val="20"/>
                <w:szCs w:val="20"/>
              </w:rPr>
            </w:pPr>
            <w:r>
              <w:rPr>
                <w:rFonts w:cs="Arial"/>
                <w:color w:val="000000"/>
                <w:sz w:val="20"/>
                <w:szCs w:val="20"/>
              </w:rPr>
              <w:t>3.762.235,13</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ACQUA BLU RESIDENCE CLUB</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365.000,00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437.500,00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490.950,65</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ADRIANA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248.000,00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261.500,00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690.924,68</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ALTO BELO LESTE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140.614,58</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ASALPI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144.645,04</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ASSIS BRASIL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590.000,00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620.000,00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602.347,74</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BARRA SUL VILLAGE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243.750,00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275.000,00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222.183,29</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BOSQUE SÃO CRISTÓVÃO</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747.983,33</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604.620,09</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BRISA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310.000,00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324.500,00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339.000,00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253.107,00</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BRISA SUL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411.353,51</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411.353,51</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411.353,51</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252.792,84</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BRISAS JOQUEI CLUB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535.000,00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663.750,00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594.599,20</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COLINAS DO POTY</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199.000,00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259.666,67</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330.000,00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256.170,77</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CONNECT LIFE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385.000,00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385.000,00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385.000,00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314.695,43</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CONTINENTAL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290.000,00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321.666,67</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240.574,92</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DELTA DO PARNAIBA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250.796,70</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DOS ESTADOS</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412.033,95</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ELEGANCE TOWER</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1.233.333,33</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927.381,97</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EMPRESS RESIDENCIAL RESORT</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1.216.666,67</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1.289.460,41</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GIOVANNA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118.333,33</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135.000,00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134.311,16</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HEBROM</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230.000,00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265.000,00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450.423,83</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HELENA SAMPAIO</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170.000,00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251.014,00</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HORTO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370.000,00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385.000,00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406.380,19</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ILHOTAS PALACE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900.000,00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883.299,37</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JARDIM EUROPA - EDIFICIO ITALIA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310.000,00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310.000,00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310.000,00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630.996,00</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JARDINS DO NORTE III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143.333,33</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111.783,29</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JARDINS RESIDENCE CLUB 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133.384,98</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JARDINS RESIDENCE CLUB II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96.957,43</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LA MADELEINE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1.493.974,00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1.493.974,00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1.493.974,00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1.346.907,81</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LIVERPOOL</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155.000,00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184.810,56</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LIZ MEDEIROS</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630.000,00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892.500,00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1.250.000,00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744.387,19</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LOFT TERESINA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449.000,00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449.500,00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564.877,31</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MANSAO RINO LEVI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980.000,00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980.000,00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969.813,29</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MONTE CARLO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1.200.000,00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345.602,30</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MONTE PARNASO</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765.000,00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479.629,55</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MONTEIRO LOBATO</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290.000,00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290.000,00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290.000,00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292.327,63</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MONTSERRAT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543.333,33</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133.056,95</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NOVO JOQUEI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245.000,00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337.819,09</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PALAZZO MONTEBELLO</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1.950.000,00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1.967.664,58</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PORTAL DO LESTE 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210.000,00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269.946,71</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PRIVILEGE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470.000,00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473.333,33</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469.115,07</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PUNTA DEL LESTE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597.000,00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604.250,00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620.000,00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590.639,07</w:t>
            </w:r>
          </w:p>
        </w:tc>
      </w:tr>
      <w:tr>
        <w:trPr>
          <w:trHeight w:val="864"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RESERVA TROPICAL -  RESERVA YUCCA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315.000,00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395.810,42</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482.431,27</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203.879,52</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RESIDENCIAL CONQUISTA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225.000,00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171.270,94</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RESIDENCIAL GRAN VILLE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203.500,00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229.000,00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190.126,11</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RESIDENCIAL MONTESE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160.000,00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181.250,00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144.804,86</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RESIDENCIAL PIATA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437.074,25</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530.000,00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254.280,95</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RESIDENCIAL VILA ITALIA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1.200.000,00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1.300.000,00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166.983,64</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RIO POTY BOULEVARD</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915.000,00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938.851,41</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SAINT PAUL</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2.050.000,00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2.300.000,00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2.361.329,25</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SANTA ANA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271.408,76</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SANTA HELENA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194.193,18</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SANTOS DUMONT</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170.000,00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170.000,00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170.000,00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132.060,40</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SAO CONRADO</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1.470.000,00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1.470.000,00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1.470.000,00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1.481.615,74</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SAVONA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720.000,00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720.000,00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720.000,00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865.106,64</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SKY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487.142,00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491.071,00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495.000,00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441.046,14</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SOLARIS CELESTE II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254.979,77</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254.979,77</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254.979,77</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102.288,34</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SOLARIS LESTE II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235.000,00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116.200,44</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SOLARIS RESIDENCE II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165.000,00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143.439,55</w:t>
            </w:r>
          </w:p>
        </w:tc>
      </w:tr>
      <w:tr>
        <w:trPr>
          <w:trHeight w:val="864"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SPAZIO VITTA MORROS RESIDENCIAS</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431.000,00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463.000,00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418.240,96</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terrazzo firenze - aeroporto</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302.750,00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305.500,00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261.443,34</w:t>
            </w:r>
          </w:p>
        </w:tc>
      </w:tr>
      <w:tr>
        <w:trPr>
          <w:trHeight w:val="864"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TOPAZIO RESIDENCIAL VILLAGE LESTE 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79.407,26</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VERDE QUE TE QUERO VERDE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170.000,00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208.723,27</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VILA DI FIORI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310.000,00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310.000,00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310.000,00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292.196,87</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VILA FORMOSA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765.000,00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1.110.000,00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416.244,75</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VILA PARATI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563.240,00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589.177,50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660.000,00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305.375,33</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VILLAGE DEL VILLE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178.190,00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202.047,50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230.000,00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152.919,18</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VILLAGE DO BOSQUE 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149.052,26</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VILLAGE SANTORINI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270.000,00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196.213,76</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VILMARY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1.600.000,00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1.600.000,00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1.600.000,00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1.176.410,39</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CONDOMINIO VINTAGE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2.550.000,00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2.700.000,00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1.713.904,24</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EDIFÍCIO ANTÚRIOS</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1.600.000,00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1.666.666,67</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1.700.000,00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2.813.358,34</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EDIFÍCIO CARNAÚBA PALACE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674.900,00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681.328,57</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719.900,00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743.216,58</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CHAMPS ELYSEES</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1.234.018,80</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DIAMOND CENTER</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450.000,00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236.301,33</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EDIFÍCIO FERRARA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868.743,00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879.162,00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1.168.319,82</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JARDIM DOS NOIVOS</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240.000,00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280.000,00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336.604,78</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JARDIM VENEZA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415.000,00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431.666,67</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440.000,00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579.902,98</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JARDIM VERONA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320.000,00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320.000,00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320.000,00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762.549,91</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Edifício La Spezia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2.002.441,00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2.104.572,00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2.208.712,00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2.288.350,08</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LOUVRE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2.575.000,00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2.650.000,00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2.697.777,70</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NETO CAMPELO</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1.375.423,00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1.487.711,50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1.600.000,00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1.287.613,42</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RECANTO DAS PALMEIRAS</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290.000,00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330.000,00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295.902,47</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RIO LIMA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900.000,00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 </w:t>
            </w:r>
            <w:r>
              <w:rPr>
                <w:rFonts w:cs="Calibri" w:ascii="Calibri" w:hAnsi="Calibri"/>
                <w:color w:val="000000"/>
                <w:sz w:val="22"/>
                <w:szCs w:val="22"/>
              </w:rPr>
              <w:t>1.008.479,23</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TURQUESA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860.000,00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870.000,00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1.287.373,62</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EDIFICIO VENEZA</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260.000,00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260.000,00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260.000,00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360.612,56</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Jônathas Nunes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450.000,00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828.000,00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460.502,29</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MANHATTAN RIVER CENTER</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439.660,00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613.932,00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980.000,00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298.158,69</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RESIDENCIAL JARDIM DO SUL</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170.000,00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210.000,00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196.051,94</w:t>
            </w:r>
          </w:p>
        </w:tc>
      </w:tr>
      <w:tr>
        <w:trPr>
          <w:trHeight w:val="576"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RIVER MANHATTAN GARAGEM</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35.000,00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21.333,40</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SMART RESIDENCE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285.000,00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367.500,00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450.000,00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250.987,02</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STUDIO V DOM SEVERINO</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360.000,00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411.426,53</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461.917,65</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5</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330.627,43</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STUDIO V JOQUEI</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370.000,00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486.758,04</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624.104,25</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497.679,35</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The Pallace</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2.162.800,00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3.806.418,18</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6.200.000,00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3.747.071,56</w:t>
            </w:r>
          </w:p>
        </w:tc>
      </w:tr>
      <w:tr>
        <w:trPr>
          <w:trHeight w:val="288" w:hRule="atLeast"/>
        </w:trPr>
        <w:tc>
          <w:tcPr>
            <w:tcW w:w="2384" w:type="dxa"/>
            <w:tcBorders>
              <w:left w:val="single" w:sz="4" w:space="0" w:color="000000"/>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THE RESIDENCE TOWER</w:t>
            </w:r>
          </w:p>
        </w:tc>
        <w:tc>
          <w:tcPr>
            <w:tcW w:w="1440"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600.000,00</w:t>
            </w:r>
          </w:p>
        </w:tc>
        <w:tc>
          <w:tcPr>
            <w:tcW w:w="1552"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600.000,00</w:t>
            </w:r>
          </w:p>
        </w:tc>
        <w:tc>
          <w:tcPr>
            <w:tcW w:w="1584"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600.000,00</w:t>
            </w:r>
          </w:p>
        </w:tc>
        <w:tc>
          <w:tcPr>
            <w:tcW w:w="9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1</w:t>
            </w:r>
          </w:p>
        </w:tc>
        <w:tc>
          <w:tcPr>
            <w:tcW w:w="1376" w:type="dxa"/>
            <w:tcBorders>
              <w:bottom w:val="single" w:sz="4" w:space="0" w:color="000000"/>
              <w:right w:val="single" w:sz="4" w:space="0" w:color="000000"/>
            </w:tcBorders>
            <w:vAlign w:val="center"/>
          </w:tcPr>
          <w:p>
            <w:pPr>
              <w:pStyle w:val="Normal"/>
              <w:suppressAutoHyphens w:val="false"/>
              <w:spacing w:lineRule="auto" w:line="240"/>
              <w:ind w:hanging="0"/>
              <w:jc w:val="center"/>
              <w:rPr>
                <w:rFonts w:ascii="Calibri" w:hAnsi="Calibri" w:cs="Calibri"/>
                <w:color w:val="000000"/>
                <w:sz w:val="22"/>
                <w:szCs w:val="22"/>
              </w:rPr>
            </w:pPr>
            <w:r>
              <w:rPr>
                <w:rFonts w:cs="Calibri" w:ascii="Calibri" w:hAnsi="Calibri"/>
                <w:color w:val="000000"/>
                <w:sz w:val="22"/>
                <w:szCs w:val="22"/>
              </w:rPr>
              <w:t>729.592,05</w:t>
            </w:r>
          </w:p>
        </w:tc>
      </w:tr>
    </w:tbl>
    <w:p>
      <w:pPr>
        <w:pStyle w:val="Normal"/>
        <w:spacing w:lineRule="auto" w:line="240"/>
        <w:ind w:hanging="0"/>
        <w:jc w:val="left"/>
        <w:rPr>
          <w:rFonts w:cs="Arial"/>
        </w:rPr>
      </w:pPr>
      <w:r>
        <w:rPr>
          <w:rFonts w:cs="Arial"/>
        </w:rPr>
      </w:r>
      <w:r>
        <w:br w:type="page"/>
      </w:r>
    </w:p>
    <w:p>
      <w:pPr>
        <w:pStyle w:val="BodyText"/>
        <w:spacing w:before="0" w:after="0"/>
        <w:ind w:hanging="0"/>
        <w:rPr>
          <w:highlight w:val="none"/>
          <w:shd w:fill="auto" w:val="clear"/>
        </w:rPr>
      </w:pPr>
      <w:r>
        <w:rPr>
          <w:rFonts w:cs="Arial"/>
          <w:shd w:fill="auto" w:val="clear"/>
        </w:rPr>
        <w:tab/>
        <w:t>A análise do conjunto de amostras encaminhado demonstrou que apenas uma pequena parcela dos imóveis avaliados apresentou valores situados dentro do intervalo mínimo e máximo previamente definido e enviado para comparação. De forma geral, observou-se uma concentração significativa de amostras com valores externos aos limites estabelecidos, evidenciando diferenças relevantes entre os valores praticados nas amostras analisadas e aqueles atualmente considerados em nossa base de referência.</w:t>
      </w:r>
    </w:p>
    <w:p>
      <w:pPr>
        <w:pStyle w:val="BodyText"/>
        <w:ind w:hanging="0"/>
        <w:rPr/>
      </w:pPr>
      <w:r>
        <w:rPr>
          <w:shd w:fill="auto" w:val="clear"/>
        </w:rPr>
        <w:tab/>
        <w:t>Diante dess</w:t>
      </w:r>
      <w:r>
        <w:rPr/>
        <w:t>e cenário, os resultados obtidos serão incorporados como fatores de ajuste na camada de condomínios de apartamentos, com o objetivo de promover maior aderência entre os valores estimados e o comportamento efetivamente observado nas amostras avaliadas. A inclusão desses fatores contribuirá para o refinamento da modelagem adotada, permitindo melhor representação das particularidades identificadas no conjunto analisado e proporcionando maior consistência às estimativas futuras.</w:t>
      </w:r>
    </w:p>
    <w:p>
      <w:pPr>
        <w:pStyle w:val="Normal"/>
        <w:spacing w:before="0" w:after="0"/>
        <w:ind w:firstLine="432"/>
        <w:rPr>
          <w:highlight w:val="none"/>
          <w:shd w:fill="FFFF00" w:val="clear"/>
        </w:rPr>
      </w:pPr>
      <w:r>
        <w:rPr>
          <w:rFonts w:cs="Arial"/>
        </w:rPr>
      </w:r>
    </w:p>
    <w:p>
      <w:pPr>
        <w:pStyle w:val="Heading1"/>
        <w:ind w:hanging="0" w:left="0"/>
        <w:rPr/>
      </w:pPr>
      <w:bookmarkStart w:id="46" w:name="__RefHeading___Toc12829_1774815877"/>
      <w:bookmarkStart w:id="47" w:name="_Toc230704179_Copia_1"/>
      <w:bookmarkEnd w:id="46"/>
      <w:r>
        <w:rPr>
          <w:rFonts w:cs="Arial"/>
        </w:rPr>
        <w:t>6.</w:t>
        <w:tab/>
        <w:t xml:space="preserve"> </w:t>
      </w:r>
      <w:bookmarkEnd w:id="47"/>
      <w:r>
        <w:rPr>
          <w:rFonts w:cs="Arial"/>
        </w:rPr>
        <w:t>ANÁLISE DAS AMOSTRAS DE LOTEAMENTOS</w:t>
      </w:r>
    </w:p>
    <w:p>
      <w:pPr>
        <w:pStyle w:val="BodyText"/>
        <w:ind w:hanging="0" w:left="0"/>
        <w:rPr/>
      </w:pPr>
      <w:r>
        <w:rPr>
          <w:rFonts w:cs="Arial"/>
        </w:rPr>
        <w:tab/>
        <w:t>Posteriormente ao recebimento do conjunto amostral inicial, foi encaminhado um segundo conjunto de dados por meio de planilha contendo informações de amostras coletadas em sítios eletrônicos e cadastradas no SAI – Sistema de Avaliação de Imóveis, totalizando 97 registros referentes a loteamentos.</w:t>
      </w:r>
    </w:p>
    <w:p>
      <w:pPr>
        <w:pStyle w:val="BodyText"/>
        <w:ind w:hanging="0"/>
        <w:rPr/>
      </w:pPr>
      <w:r>
        <w:rPr/>
        <w:tab/>
        <w:t>Com base nesse material, procedeu-se à identificação manual da localização dos empreendimentos, realizando-se o cruzamento espacial das geometrias dos loteamentos com a Planta de Valores Genéricos (PVG) vigente por meio do software QGIS. Tal procedimento possibilitou a comparação entre os valores unitários de metro quadrado (VM2) informados nas amostras e os respectivos valores de VM2 estabelecidos na PVG.</w:t>
      </w:r>
    </w:p>
    <w:p>
      <w:pPr>
        <w:pStyle w:val="BodyText"/>
        <w:ind w:hanging="0"/>
        <w:rPr/>
      </w:pPr>
      <w:r>
        <w:rPr/>
        <w:tab/>
        <w:t xml:space="preserve">Das 97 amostras recebidas, 35 foram desconsideradas da análise, seja por se localizarem fora do domínio territorial avaliado, seja pela ausência de especificações suficientes para a correta identificação do loteamento correspondente. Verificou-se, ainda, a existência de empreendimentos com nomenclaturas semelhantes ou idênticas, fator que dificultou a individualização precisa dos registros, como ocorre, por exemplo, nos empreendimentos da linha Alphaville, que compreendem diferentes loteamentos com pequenas variações em sua denominação. </w:t>
      </w:r>
      <w:r>
        <w:rPr/>
        <w:t xml:space="preserve">A </w:t>
      </w:r>
      <w:r>
        <w:rPr/>
        <w:fldChar w:fldCharType="begin"/>
      </w:r>
      <w:r>
        <w:rPr/>
        <w:instrText xml:space="preserve"> REF Ref_Tabela5_label_and_number \h </w:instrText>
      </w:r>
      <w:r>
        <w:rPr/>
        <w:fldChar w:fldCharType="separate"/>
      </w:r>
      <w:r>
        <w:rPr/>
        <w:t>Tabela 6</w:t>
      </w:r>
      <w:r>
        <w:rPr/>
        <w:fldChar w:fldCharType="end"/>
      </w:r>
      <w:r>
        <w:rPr/>
        <w:t xml:space="preserve"> apresenta o conjunto amostral a ser avaliado.</w:t>
      </w:r>
    </w:p>
    <w:p>
      <w:pPr>
        <w:pStyle w:val="Normal"/>
        <w:ind w:hanging="0" w:left="0"/>
        <w:rPr>
          <w:rFonts w:cs="Arial"/>
        </w:rPr>
      </w:pPr>
      <w:r>
        <w:rPr>
          <w:rFonts w:cs="Arial"/>
        </w:rPr>
        <mc:AlternateContent>
          <mc:Choice Requires="wps">
            <w:drawing>
              <wp:anchor behindDoc="0" distT="0" distB="0" distL="0" distR="0" simplePos="0" locked="0" layoutInCell="0" allowOverlap="1" relativeHeight="265">
                <wp:simplePos x="0" y="0"/>
                <wp:positionH relativeFrom="column">
                  <wp:posOffset>-678815</wp:posOffset>
                </wp:positionH>
                <wp:positionV relativeFrom="paragraph">
                  <wp:posOffset>-35560</wp:posOffset>
                </wp:positionV>
                <wp:extent cx="6821805" cy="5019040"/>
                <wp:effectExtent l="0" t="0" r="0" b="0"/>
                <wp:wrapSquare wrapText="bothSides"/>
                <wp:docPr id="43" name="Quadro1"/>
                <a:graphic xmlns:a="http://schemas.openxmlformats.org/drawingml/2006/main">
                  <a:graphicData uri="http://schemas.microsoft.com/office/word/2010/wordprocessingShape">
                    <wps:wsp>
                      <wps:cNvSpPr/>
                      <wps:spPr>
                        <a:xfrm>
                          <a:off x="0" y="0"/>
                          <a:ext cx="6821640" cy="5019120"/>
                        </a:xfrm>
                        <a:prstGeom prst="rect">
                          <a:avLst/>
                        </a:prstGeom>
                        <a:solidFill>
                          <a:srgbClr val="ffffff"/>
                        </a:solidFill>
                        <a:ln w="0">
                          <a:noFill/>
                        </a:ln>
                      </wps:spPr>
                      <wps:style>
                        <a:lnRef idx="0"/>
                        <a:fillRef idx="0"/>
                        <a:effectRef idx="0"/>
                        <a:fontRef idx="minor"/>
                      </wps:style>
                      <wps:txbx>
                        <w:txbxContent>
                          <w:p>
                            <w:pPr>
                              <w:pStyle w:val="Tabela"/>
                              <w:spacing w:before="120" w:after="120"/>
                              <w:jc w:val="center"/>
                              <w:rPr>
                                <w:rFonts w:ascii="Arial" w:hAnsi="Arial"/>
                                <w:i w:val="false"/>
                                <w:i w:val="false"/>
                                <w:iCs w:val="false"/>
                                <w:sz w:val="20"/>
                                <w:szCs w:val="20"/>
                              </w:rPr>
                            </w:pPr>
                            <w:bookmarkStart w:id="48" w:name="Ref_Tabela5_label_and_number"/>
                            <w:r>
                              <w:rPr>
                                <w:rFonts w:ascii="Arial" w:hAnsi="Arial"/>
                                <w:i w:val="false"/>
                                <w:iCs w:val="false"/>
                                <w:sz w:val="20"/>
                                <w:szCs w:val="20"/>
                              </w:rPr>
                              <w:t xml:space="preserve">Tabela </w:t>
                            </w:r>
                            <w:r>
                              <w:rPr>
                                <w:rFonts w:ascii="Arial" w:hAnsi="Arial"/>
                                <w:i w:val="false"/>
                                <w:iCs w:val="false"/>
                                <w:sz w:val="20"/>
                                <w:szCs w:val="20"/>
                              </w:rPr>
                              <w:fldChar w:fldCharType="begin"/>
                            </w:r>
                            <w:r>
                              <w:rPr>
                                <w:sz w:val="20"/>
                                <w:i w:val="false"/>
                                <w:szCs w:val="20"/>
                                <w:iCs w:val="false"/>
                                <w:rFonts w:ascii="Arial" w:hAnsi="Arial"/>
                              </w:rPr>
                              <w:instrText xml:space="preserve"> SEQ Tabela \* ARABIC </w:instrText>
                            </w:r>
                            <w:r>
                              <w:rPr>
                                <w:sz w:val="20"/>
                                <w:i w:val="false"/>
                                <w:szCs w:val="20"/>
                                <w:iCs w:val="false"/>
                                <w:rFonts w:ascii="Arial" w:hAnsi="Arial"/>
                              </w:rPr>
                              <w:fldChar w:fldCharType="separate"/>
                            </w:r>
                            <w:r>
                              <w:rPr>
                                <w:sz w:val="20"/>
                                <w:i w:val="false"/>
                                <w:szCs w:val="20"/>
                                <w:iCs w:val="false"/>
                                <w:rFonts w:ascii="Arial" w:hAnsi="Arial"/>
                              </w:rPr>
                              <w:t>6</w:t>
                            </w:r>
                            <w:r>
                              <w:rPr>
                                <w:sz w:val="20"/>
                                <w:i w:val="false"/>
                                <w:szCs w:val="20"/>
                                <w:iCs w:val="false"/>
                                <w:rFonts w:ascii="Arial" w:hAnsi="Arial"/>
                              </w:rPr>
                              <w:fldChar w:fldCharType="end"/>
                            </w:r>
                            <w:bookmarkEnd w:id="48"/>
                            <w:r>
                              <w:rPr>
                                <w:rFonts w:ascii="Arial" w:hAnsi="Arial"/>
                                <w:i w:val="false"/>
                                <w:iCs w:val="false"/>
                                <w:sz w:val="20"/>
                                <w:szCs w:val="20"/>
                              </w:rPr>
                              <w:t xml:space="preserve"> </w:t>
                            </w:r>
                            <w:r>
                              <w:rPr>
                                <w:rFonts w:ascii="Arial" w:hAnsi="Arial"/>
                                <w:i w:val="false"/>
                                <w:iCs w:val="false"/>
                                <w:sz w:val="20"/>
                                <w:szCs w:val="20"/>
                              </w:rPr>
                              <w:t>- Estatísticas das amostras de loteamento</w:t>
                            </w:r>
                          </w:p>
                        </w:txbxContent>
                      </wps:txbx>
                      <wps:bodyPr lIns="0" rIns="0" tIns="0" bIns="0" anchor="t">
                        <a:noAutofit/>
                      </wps:bodyPr>
                    </wps:wsp>
                  </a:graphicData>
                </a:graphic>
              </wp:anchor>
            </w:drawing>
          </mc:Choice>
          <mc:Fallback>
            <w:pict>
              <v:rect id="shape_0" ID="Quadro1" path="m0,0l-2147483645,0l-2147483645,-2147483646l0,-2147483646xe" fillcolor="white" stroked="f" o:allowincell="f" style="position:absolute;margin-left:-53.45pt;margin-top:-2.8pt;width:537.1pt;height:395.15pt;mso-wrap-style:square;v-text-anchor:top">
                <v:fill o:detectmouseclick="t" type="solid" color2="black"/>
                <v:stroke color="#3465a4" joinstyle="round" endcap="flat"/>
                <v:textbox>
                  <w:txbxContent>
                    <w:p>
                      <w:pPr>
                        <w:pStyle w:val="Tabela"/>
                        <w:spacing w:before="120" w:after="120"/>
                        <w:jc w:val="center"/>
                        <w:rPr>
                          <w:rFonts w:ascii="Arial" w:hAnsi="Arial"/>
                          <w:i w:val="false"/>
                          <w:i w:val="false"/>
                          <w:iCs w:val="false"/>
                          <w:sz w:val="20"/>
                          <w:szCs w:val="20"/>
                        </w:rPr>
                      </w:pPr>
                      <w:bookmarkStart w:id="49" w:name="Ref_Tabela5_label_and_number"/>
                      <w:r>
                        <w:rPr>
                          <w:rFonts w:ascii="Arial" w:hAnsi="Arial"/>
                          <w:i w:val="false"/>
                          <w:iCs w:val="false"/>
                          <w:sz w:val="20"/>
                          <w:szCs w:val="20"/>
                        </w:rPr>
                        <w:t xml:space="preserve">Tabela </w:t>
                      </w:r>
                      <w:r>
                        <w:rPr>
                          <w:rFonts w:ascii="Arial" w:hAnsi="Arial"/>
                          <w:i w:val="false"/>
                          <w:iCs w:val="false"/>
                          <w:sz w:val="20"/>
                          <w:szCs w:val="20"/>
                        </w:rPr>
                        <w:fldChar w:fldCharType="begin"/>
                      </w:r>
                      <w:r>
                        <w:rPr>
                          <w:sz w:val="20"/>
                          <w:i w:val="false"/>
                          <w:szCs w:val="20"/>
                          <w:iCs w:val="false"/>
                          <w:rFonts w:ascii="Arial" w:hAnsi="Arial"/>
                        </w:rPr>
                        <w:instrText xml:space="preserve"> SEQ Tabela \* ARABIC </w:instrText>
                      </w:r>
                      <w:r>
                        <w:rPr>
                          <w:sz w:val="20"/>
                          <w:i w:val="false"/>
                          <w:szCs w:val="20"/>
                          <w:iCs w:val="false"/>
                          <w:rFonts w:ascii="Arial" w:hAnsi="Arial"/>
                        </w:rPr>
                        <w:fldChar w:fldCharType="separate"/>
                      </w:r>
                      <w:r>
                        <w:rPr>
                          <w:sz w:val="20"/>
                          <w:i w:val="false"/>
                          <w:szCs w:val="20"/>
                          <w:iCs w:val="false"/>
                          <w:rFonts w:ascii="Arial" w:hAnsi="Arial"/>
                        </w:rPr>
                        <w:t>6</w:t>
                      </w:r>
                      <w:r>
                        <w:rPr>
                          <w:sz w:val="20"/>
                          <w:i w:val="false"/>
                          <w:szCs w:val="20"/>
                          <w:iCs w:val="false"/>
                          <w:rFonts w:ascii="Arial" w:hAnsi="Arial"/>
                        </w:rPr>
                        <w:fldChar w:fldCharType="end"/>
                      </w:r>
                      <w:bookmarkEnd w:id="49"/>
                      <w:r>
                        <w:rPr>
                          <w:rFonts w:ascii="Arial" w:hAnsi="Arial"/>
                          <w:i w:val="false"/>
                          <w:iCs w:val="false"/>
                          <w:sz w:val="20"/>
                          <w:szCs w:val="20"/>
                        </w:rPr>
                        <w:t xml:space="preserve"> </w:t>
                      </w:r>
                      <w:r>
                        <w:rPr>
                          <w:rFonts w:ascii="Arial" w:hAnsi="Arial"/>
                          <w:i w:val="false"/>
                          <w:iCs w:val="false"/>
                          <w:sz w:val="20"/>
                          <w:szCs w:val="20"/>
                        </w:rPr>
                        <w:t>- Estatísticas das amostras de loteamento</w:t>
                      </w:r>
                    </w:p>
                  </w:txbxContent>
                </v:textbox>
                <w10:wrap type="square"/>
              </v:rect>
            </w:pict>
          </mc:Fallback>
        </mc:AlternateContent>
        <w:object w:dxaOrig="10743" w:dyaOrig="7836">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position:absolute;margin-left:-1.9pt;margin-top:24.2pt;width:453.55pt;height:401.5pt;mso-wrap-distance-right:0pt;mso-position-horizontal-relative:text;mso-position-vertical-relative:text" filled="f" o:ole="">
            <v:imagedata r:id="rId29" o:title=""/>
            <w10:wrap type="square"/>
          </v:shape>
          <o:OLEObject Type="Embed" ProgID="Excel.Sheet.12" ShapeID="ole_rId28" DrawAspect="Content" ObjectID="_1216017405" r:id="rId28"/>
        </w:object>
      </w:r>
    </w:p>
    <w:p>
      <w:pPr>
        <w:pStyle w:val="Normal"/>
        <w:ind w:hanging="0" w:left="0"/>
        <w:rPr/>
      </w:pPr>
      <w:r>
        <w:rPr>
          <w:rFonts w:cs="Arial"/>
        </w:rPr>
        <w:tab/>
        <w:t>Conforme evidenciado pelas estatísticas apresentadas, verificou-se que os resíduos percentuais observados se encontram, de maneira geral, dentro dos limites esperados e considerados tecnicamente aceitáveis para a análise realizada. Os casos que apresentaram percentuais residuais significativamente elevados podem ser justificados pela existência de apenas uma unidade amostral representativa.</w:t>
      </w:r>
    </w:p>
    <w:p>
      <w:pPr>
        <w:pStyle w:val="BodyText"/>
        <w:ind w:hanging="0"/>
        <w:rPr/>
      </w:pPr>
      <w:r>
        <w:rPr/>
        <w:tab/>
        <w:t xml:space="preserve">De forma ampla, os resultados demonstram níveis de erro compatíveis com o comportamento esperado para o conjunto de dados analisado, indicando consistência global das informações e relativa homogeneidade espacial do conjunto amostral, ainda que sejam observadas ocorrências pontuais de resíduos mais expressivos. </w:t>
      </w:r>
    </w:p>
    <w:p>
      <w:pPr>
        <w:pStyle w:val="BodyText"/>
        <w:ind w:hanging="0"/>
        <w:rPr/>
      </w:pPr>
      <w:r>
        <w:rPr/>
        <w:tab/>
        <w:t xml:space="preserve">Ressalta-se, ainda, que os casos identificados fora do limite considerado aceitável subsidiarão a inserção de fatores de ajuste na camada </w:t>
      </w:r>
      <w:r>
        <w:rPr/>
        <w:t>correspondente</w:t>
      </w:r>
      <w:r>
        <w:rPr/>
        <w:t>, visando aprimorar a aderência dos valores estimados às características efetivamente observadas nas amostras analisadas.</w:t>
      </w:r>
    </w:p>
    <w:p>
      <w:pPr>
        <w:pStyle w:val="Heading1"/>
        <w:ind w:hanging="0" w:left="0"/>
        <w:rPr/>
      </w:pPr>
      <w:bookmarkStart w:id="50" w:name="__RefHeading___Toc12831_1774815877"/>
      <w:bookmarkEnd w:id="50"/>
      <w:r>
        <w:rPr/>
        <w:t>7</w:t>
      </w:r>
      <w:bookmarkStart w:id="51" w:name="_Toc230704179"/>
      <w:r>
        <w:rPr/>
        <w:t>.</w:t>
        <w:tab/>
        <w:t xml:space="preserve"> CONSIDERAÇÕES FINAIS</w:t>
      </w:r>
      <w:bookmarkEnd w:id="51"/>
    </w:p>
    <w:p>
      <w:pPr>
        <w:pStyle w:val="BodyText"/>
        <w:ind w:hanging="0"/>
        <w:rPr/>
      </w:pPr>
      <w:r>
        <w:rPr/>
        <w:tab/>
        <w:t>A partir das análises realizadas com base nos achados de março de 2026, foi possível verificar que o OMI apresentou comportamento estatisticamente consistente para as diferentes tipologias avaliadas, especialmente no caso de terrenos e apartamentos/salas comerciais, cujos resultados demonstraram elevada aderência em relação às avaliações realizadas pelos auditores municipais. De forma geral, os gráficos de dispersão, histogramas e análises espaciais evidenciaram predominância de resíduos distribuídos dentro de faixas consideradas aceitáveis para modelos de avaliação em massa, indicando coerência entre os valores estimados pelo sistema e os valores de referência utilizados nas auditorias.</w:t>
      </w:r>
    </w:p>
    <w:p>
      <w:pPr>
        <w:pStyle w:val="BodyText"/>
        <w:ind w:hanging="0"/>
        <w:rPr/>
      </w:pPr>
      <w:r>
        <w:rPr/>
        <w:tab/>
        <w:t>No caso dos terrenos, observou-se forte correlação linear entre os valores comparados, além de distribuição espacial predominantemente aleatória dos resíduos, sem identificação de tendência espacial significativa. As discrepâncias pontuais verificadas indicam a necessidade de refinamentos localizados, sobretudo em regiões sujeitas à influência de polos de valorização imobiliária ou áreas de expansão urbana ainda não integralmente capturadas pela modelagem atual. Também se verificou limitação relevante quanto ao segundo conjunto amostral encaminhado, uma vez que a ausência de endereços completos e informações de geolocalização inviabilizou a análise individualizada de grande parte dos registros disponibilizados.</w:t>
      </w:r>
    </w:p>
    <w:p>
      <w:pPr>
        <w:pStyle w:val="BodyText"/>
        <w:ind w:hanging="0"/>
        <w:rPr/>
      </w:pPr>
      <w:r>
        <w:rPr/>
        <w:tab/>
        <w:t>Em relação às casas, embora os resultados tenham demonstrado maior dispersão estatística quando comparados às demais tipologias, observou-se comportamento global satisfatório do modelo, especialmente considerando as particularidades inerentes a imóveis residenciais unifamiliares. Os casos de maior discrepância mostram-se, em grande medida, associados a características específicas dos imóveis, tais como padrão construtivo, qualidade de acabamento, dimensões diferenciadas, benfeitorias e variáveis locais não integralmente representadas pelo modelo geoestatístico. Ainda assim, a distribuição espacial dos resíduos demonstrou ausência de concentração sistemática das divergências, reforçando a adequação do OMI como ferramenta de suporte às avaliações imobiliárias.</w:t>
      </w:r>
    </w:p>
    <w:p>
      <w:pPr>
        <w:pStyle w:val="BodyText"/>
        <w:ind w:hanging="0"/>
        <w:rPr/>
      </w:pPr>
      <w:r>
        <w:rPr/>
        <w:tab/>
        <w:t>No que se refere aos apartamentos e salas comerciais, os resultados obtidos demonstraram elevado nível de aderência estatística, com forte correlação linear entre os valores avaliados pelos auditores e os valores simulados pelo OMI. As divergências identificadas concentram-se principalmente em situações específicas relacionadas a diferenças de padrão construtivo, consideração de áreas privativas e comuns, fatores de andar, idade da edificação e influência de condomínios com características próprias de valorização ou desvalorização.</w:t>
      </w:r>
    </w:p>
    <w:p>
      <w:pPr>
        <w:pStyle w:val="BodyText"/>
        <w:rPr/>
      </w:pPr>
      <w:r>
        <w:rPr/>
        <w:t>De maneira geral, as análises realizadas permitiram identificar que parte significativa das subestimativas e superestimativas observadas decorre não apenas de limitações inerentes à modelagem estatística, mas também de inconsistências cadastrais, ausência de informações completas nas bases utilizadas e particularidades individuais dos imóveis analisados. Nesse contexto, os casos considerados fora dos limites tecnicamente aceitáveis subsidiarão a implementação de fatores de ajuste específicos no modelo, visando aprimorar a aderência estatística e espacial dos resultados produzidos pelo OMI.</w:t>
      </w:r>
    </w:p>
    <w:p>
      <w:pPr>
        <w:pStyle w:val="BodyText"/>
        <w:ind w:hanging="0"/>
        <w:rPr/>
      </w:pPr>
      <w:r>
        <w:rPr/>
        <w:tab/>
        <w:t>Por fim, destaca-se que o processo de calibração e refinamento do Observatório do Mercado Imobiliário possui caráter contínuo, sendo que as análises aqui apresentadas contribuem diretamente para o aperfeiçoamento progressivo do sistema. As inconsistências identificadas serão objeto de ajustes pontuais e revisões complementares, permitindo ampliar a confiabilidade do modelo e consolidar o OMI como importante ferramenta de apoio às avaliações imobiliárias e à gestão tributária municipal.</w:t>
      </w:r>
    </w:p>
    <w:p>
      <w:pPr>
        <w:sectPr>
          <w:headerReference w:type="default" r:id="rId30"/>
          <w:headerReference w:type="first" r:id="rId31"/>
          <w:footerReference w:type="default" r:id="rId32"/>
          <w:footerReference w:type="first" r:id="rId33"/>
          <w:type w:val="nextPage"/>
          <w:pgSz w:w="11906" w:h="16838"/>
          <w:pgMar w:left="1701" w:right="1134" w:gutter="0" w:header="709" w:top="1701" w:footer="709" w:bottom="1134"/>
          <w:pgNumType w:fmt="decimal"/>
          <w:formProt w:val="false"/>
          <w:titlePg/>
          <w:textDirection w:val="lrTb"/>
          <w:docGrid w:type="default" w:linePitch="360" w:charSpace="0"/>
        </w:sectPr>
        <w:pStyle w:val="Normal"/>
        <w:ind w:firstLine="1134"/>
        <w:rPr/>
      </w:pPr>
      <w:r>
        <w:rPr/>
      </w:r>
    </w:p>
    <w:p>
      <w:pPr>
        <w:pStyle w:val="Normal"/>
        <w:spacing w:lineRule="auto" w:line="240"/>
        <w:ind w:hanging="0"/>
        <w:jc w:val="left"/>
        <w:rPr/>
      </w:pPr>
      <w:r>
        <w:rPr/>
      </w:r>
    </w:p>
    <w:p>
      <w:pPr>
        <w:pStyle w:val="Normal"/>
        <w:ind w:hanging="0"/>
        <w:rPr/>
      </w:pPr>
      <w:r>
        <w:rPr/>
      </w:r>
    </w:p>
    <w:p>
      <w:pPr>
        <w:pStyle w:val="Normal"/>
        <w:ind w:hanging="0"/>
        <w:rPr/>
      </w:pPr>
      <w:r>
        <w:rPr/>
        <w:drawing>
          <wp:anchor behindDoc="0" distT="0" distB="0" distL="0" distR="0" simplePos="0" locked="0" layoutInCell="1" allowOverlap="1" relativeHeight="263">
            <wp:simplePos x="0" y="0"/>
            <wp:positionH relativeFrom="column">
              <wp:posOffset>2243455</wp:posOffset>
            </wp:positionH>
            <wp:positionV relativeFrom="paragraph">
              <wp:posOffset>-22860</wp:posOffset>
            </wp:positionV>
            <wp:extent cx="1560830" cy="642620"/>
            <wp:effectExtent l="0" t="0" r="0" b="0"/>
            <wp:wrapNone/>
            <wp:docPr id="52" name="Figura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a28" descr=""/>
                    <pic:cNvPicPr>
                      <a:picLocks noChangeAspect="1" noChangeArrowheads="1"/>
                    </pic:cNvPicPr>
                  </pic:nvPicPr>
                  <pic:blipFill>
                    <a:blip r:embed="rId34"/>
                    <a:stretch>
                      <a:fillRect/>
                    </a:stretch>
                  </pic:blipFill>
                  <pic:spPr bwMode="auto">
                    <a:xfrm>
                      <a:off x="0" y="0"/>
                      <a:ext cx="1560830" cy="642620"/>
                    </a:xfrm>
                    <a:prstGeom prst="rect">
                      <a:avLst/>
                    </a:prstGeom>
                  </pic:spPr>
                </pic:pic>
              </a:graphicData>
            </a:graphic>
          </wp:anchor>
        </w:drawing>
      </w:r>
    </w:p>
    <w:p>
      <w:pPr>
        <w:pStyle w:val="Normal"/>
        <w:ind w:hanging="0"/>
        <w:jc w:val="center"/>
        <w:rPr/>
      </w:pPr>
      <w:r>
        <w:rPr/>
        <w:t>_______________________________</w:t>
      </w:r>
    </w:p>
    <w:p>
      <w:pPr>
        <w:pStyle w:val="Normal"/>
        <w:spacing w:lineRule="auto" w:line="276"/>
        <w:ind w:hanging="0"/>
        <w:jc w:val="center"/>
        <w:rPr/>
      </w:pPr>
      <w:r>
        <w:rPr/>
        <w:t>Fernando Basquiroto de Souza</w:t>
      </w:r>
    </w:p>
    <w:p>
      <w:pPr>
        <w:pStyle w:val="Normal"/>
        <w:spacing w:lineRule="auto" w:line="276"/>
        <w:ind w:hanging="0"/>
        <w:jc w:val="center"/>
        <w:rPr/>
      </w:pPr>
      <w:r>
        <w:rPr/>
        <w:t>ETopocart – Geo360</w:t>
      </w:r>
    </w:p>
    <w:p>
      <w:pPr>
        <w:pStyle w:val="Normal"/>
        <w:spacing w:lineRule="auto" w:line="276"/>
        <w:ind w:hanging="0"/>
        <w:jc w:val="center"/>
        <w:rPr/>
      </w:pPr>
      <w:r>
        <w:rPr/>
      </w:r>
    </w:p>
    <w:p>
      <w:pPr>
        <w:pStyle w:val="Normal"/>
        <w:spacing w:lineRule="auto" w:line="276"/>
        <w:ind w:hanging="0"/>
        <w:jc w:val="center"/>
        <w:rPr/>
      </w:pPr>
      <w:r>
        <w:rPr/>
      </w:r>
    </w:p>
    <w:p>
      <w:pPr>
        <w:pStyle w:val="Normal"/>
        <w:ind w:hanging="0"/>
        <w:rPr>
          <w:b/>
          <w:bCs/>
        </w:rPr>
      </w:pPr>
      <w:r>
        <w:rPr>
          <w:b/>
          <w:bCs/>
        </w:rPr>
      </w:r>
    </w:p>
    <w:p>
      <w:pPr>
        <w:pStyle w:val="Normal"/>
        <w:spacing w:lineRule="auto" w:line="240"/>
        <w:ind w:hanging="0"/>
        <w:jc w:val="left"/>
        <w:rPr>
          <w:b/>
          <w:bCs/>
        </w:rPr>
      </w:pPr>
      <w:r>
        <w:rPr>
          <w:b/>
          <w:bCs/>
        </w:rPr>
      </w:r>
      <w:r>
        <w:br w:type="page"/>
      </w:r>
    </w:p>
    <w:p>
      <w:pPr>
        <w:pStyle w:val="Normal"/>
        <w:spacing w:lineRule="auto" w:line="276" w:before="0" w:after="0"/>
        <w:ind w:hanging="0"/>
        <w:jc w:val="center"/>
        <w:rPr>
          <w:b/>
          <w:bCs/>
        </w:rPr>
      </w:pPr>
      <w:r>
        <w:rPr>
          <w:b/>
          <w:bCs/>
        </w:rPr>
        <w:t>REFERÊNCIAS CONSULTADAS</w:t>
      </w:r>
    </w:p>
    <w:p>
      <w:pPr>
        <w:pStyle w:val="Normal"/>
        <w:spacing w:lineRule="auto" w:line="276"/>
        <w:ind w:hanging="0"/>
        <w:jc w:val="center"/>
        <w:rPr/>
      </w:pPr>
      <w:r>
        <w:rPr/>
      </w:r>
    </w:p>
    <w:p>
      <w:pPr>
        <w:pStyle w:val="Normal"/>
        <w:spacing w:lineRule="auto" w:line="276"/>
        <w:ind w:hanging="0"/>
        <w:rPr/>
      </w:pPr>
      <w:r>
        <w:rPr/>
        <w:t xml:space="preserve">ERBA, Diego Alfonso. </w:t>
      </w:r>
      <w:r>
        <w:rPr>
          <w:b/>
          <w:bCs/>
        </w:rPr>
        <w:t>Cadastro multifinalitário como instrumento de política fiscal urbana</w:t>
      </w:r>
      <w:r>
        <w:rPr/>
        <w:t>. Lincoln Institute of Land Policy, 2008.</w:t>
      </w:r>
    </w:p>
    <w:p>
      <w:pPr>
        <w:pStyle w:val="Normal"/>
        <w:spacing w:lineRule="auto" w:line="276"/>
        <w:ind w:hanging="0"/>
        <w:rPr/>
      </w:pPr>
      <w:r>
        <w:rPr/>
      </w:r>
    </w:p>
    <w:sectPr>
      <w:headerReference w:type="default" r:id="rId35"/>
      <w:headerReference w:type="first" r:id="rId36"/>
      <w:footerReference w:type="default" r:id="rId37"/>
      <w:footerReference w:type="first" r:id="rId38"/>
      <w:type w:val="nextPage"/>
      <w:pgSz w:w="11906" w:h="16838"/>
      <w:pgMar w:left="1701" w:right="1134" w:gutter="0" w:header="709" w:top="1701" w:footer="709" w:bottom="1134"/>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Cambria">
    <w:charset w:val="00"/>
    <w:family w:val="roman"/>
    <w:pitch w:val="variable"/>
  </w:font>
  <w:font w:name="Segoe UI">
    <w:charset w:val="00"/>
    <w:family w:val="roman"/>
    <w:pitch w:val="variable"/>
  </w:font>
  <w:font w:name="Gothic720 BT">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Verdana">
    <w:charset w:val="00"/>
    <w:family w:val="roman"/>
    <w:pitch w:val="variable"/>
  </w:font>
  <w:font w:name="Liberation Mono">
    <w:altName w:val="Courier New"/>
    <w:charset w:val="00"/>
    <w:family w:val="roman"/>
    <w:pitch w:val="variable"/>
  </w:font>
  <w:font w:name="Aptos Narrow">
    <w:charset w:val="00"/>
    <w:family w:val="roman"/>
    <w:pitch w:val="variable"/>
  </w:font>
  <w:font w:name="Arial Narrow">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08094685"/>
    </w:sdtPr>
    <w:sdtContent>
      <w:p>
        <w:pPr>
          <w:pStyle w:val="Footer"/>
          <w:jc w:val="right"/>
          <w:rPr>
            <w:sz w:val="20"/>
            <w:szCs w:val="20"/>
          </w:rPr>
        </w:pPr>
        <w:r>
          <w:drawing>
            <wp:anchor behindDoc="1" distT="0" distB="0" distL="0" distR="0" simplePos="0" locked="0" layoutInCell="1" allowOverlap="1" relativeHeight="9">
              <wp:simplePos x="0" y="0"/>
              <wp:positionH relativeFrom="column">
                <wp:posOffset>-1062990</wp:posOffset>
              </wp:positionH>
              <wp:positionV relativeFrom="paragraph">
                <wp:posOffset>295910</wp:posOffset>
              </wp:positionV>
              <wp:extent cx="7595870" cy="899160"/>
              <wp:effectExtent l="0" t="0" r="0" b="0"/>
              <wp:wrapNone/>
              <wp:docPr id="11" name="Figura30"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30"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7595870" cy="899160"/>
                      </a:xfrm>
                      <a:prstGeom prst="rect">
                        <a:avLst/>
                      </a:prstGeom>
                    </pic:spPr>
                  </pic:pic>
                </a:graphicData>
              </a:graphic>
            </wp:anchor>
          </w:drawing>
        </w:r>
        <w:r>
          <w:rPr>
            <w:sz w:val="20"/>
            <w:szCs w:val="20"/>
          </w:rPr>
          <w:fldChar w:fldCharType="begin"/>
        </w:r>
        <w:r>
          <w:rPr>
            <w:sz w:val="20"/>
            <w:szCs w:val="20"/>
          </w:rPr>
          <w:instrText xml:space="preserve"> PAGE </w:instrText>
        </w:r>
        <w:r>
          <w:rPr>
            <w:sz w:val="20"/>
            <w:szCs w:val="20"/>
          </w:rPr>
          <w:fldChar w:fldCharType="separate"/>
        </w:r>
        <w:r>
          <w:rPr>
            <w:sz w:val="20"/>
            <w:szCs w:val="20"/>
          </w:rPr>
          <w:t>10</w:t>
        </w:r>
        <w:r>
          <w:rPr>
            <w:sz w:val="20"/>
            <w:szCs w:val="20"/>
          </w:rPr>
          <w:fldChar w:fldCharType="end"/>
        </w:r>
        <w:r>
          <w:rPr>
            <w:sz w:val="20"/>
            <w:szCs w:val="20"/>
          </w:rPr>
          <w:t xml:space="preserve"> </w:t>
        </w:r>
        <w:r>
          <w:rPr>
            <w:sz w:val="20"/>
            <w:szCs w:val="20"/>
          </w:rPr>
          <w:t xml:space="preserve">- </w:t>
        </w:r>
        <w:r>
          <w:rPr>
            <w:sz w:val="20"/>
            <w:szCs w:val="20"/>
          </w:rPr>
          <w:fldChar w:fldCharType="begin"/>
        </w:r>
        <w:r>
          <w:rPr>
            <w:sz w:val="20"/>
            <w:szCs w:val="20"/>
          </w:rPr>
          <w:instrText xml:space="preserve"> NUMPAGES </w:instrText>
        </w:r>
        <w:r>
          <w:rPr>
            <w:sz w:val="20"/>
            <w:szCs w:val="20"/>
          </w:rPr>
          <w:fldChar w:fldCharType="separate"/>
        </w:r>
        <w:r>
          <w:rPr>
            <w:sz w:val="20"/>
            <w:szCs w:val="20"/>
          </w:rPr>
          <w:t>64</w:t>
        </w:r>
        <w:r>
          <w:rPr>
            <w:sz w:val="20"/>
            <w:szCs w:val="20"/>
          </w:rPr>
          <w:fldChar w:fldCharType="end"/>
        </w:r>
      </w:p>
      <w:p>
        <w:pPr>
          <w:pStyle w:val="Footer"/>
          <w:spacing w:lineRule="auto" w:line="240"/>
          <w:ind w:hanging="0"/>
          <w:jc w:val="center"/>
          <w:rPr>
            <w:sz w:val="20"/>
            <w:szCs w:val="20"/>
          </w:rPr>
        </w:pP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rStyle w:val="Hyperlink1"/>
        <w:rFonts w:ascii="Liberation Sans" w:hAnsi="Liberation Sans" w:cs="Arial"/>
        <w:color w:val="auto"/>
        <w:u w:val="none"/>
        <w:shd w:fill="FFFFFF" w:val="clear"/>
      </w:rPr>
    </w:pPr>
    <w:r>
      <w:rPr>
        <w:rFonts w:cs="Arial" w:ascii="Liberation Sans" w:hAnsi="Liberation Sans"/>
        <w:color w:val="000000"/>
        <w:u w:val="none"/>
        <w:shd w:fill="FFFFFF" w:val="clea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31693463"/>
    </w:sdtPr>
    <w:sdtContent>
      <w:p>
        <w:pPr>
          <w:pStyle w:val="Footer"/>
          <w:jc w:val="right"/>
          <w:rPr>
            <w:sz w:val="20"/>
            <w:szCs w:val="20"/>
          </w:rPr>
        </w:pPr>
        <w:r>
          <w:rPr>
            <w:sz w:val="20"/>
            <w:szCs w:val="20"/>
          </w:rPr>
          <w:fldChar w:fldCharType="begin"/>
        </w:r>
        <w:r>
          <w:rPr>
            <w:sz w:val="20"/>
            <w:szCs w:val="20"/>
          </w:rPr>
          <w:instrText xml:space="preserve"> PAGE </w:instrText>
        </w:r>
        <w:r>
          <w:rPr>
            <w:sz w:val="20"/>
            <w:szCs w:val="20"/>
          </w:rPr>
          <w:fldChar w:fldCharType="separate"/>
        </w:r>
        <w:r>
          <w:rPr>
            <w:sz w:val="20"/>
            <w:szCs w:val="20"/>
          </w:rPr>
          <w:t>49</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Pr>
            <w:sz w:val="20"/>
            <w:szCs w:val="20"/>
          </w:rPr>
          <w:t>64</w:t>
        </w:r>
        <w:r>
          <w:rPr>
            <w:sz w:val="20"/>
            <w:szCs w:val="20"/>
          </w:rPr>
          <w:fldChar w:fldCharType="end"/>
        </w:r>
      </w:p>
      <w:p>
        <w:pPr>
          <w:pStyle w:val="Footer"/>
          <w:spacing w:lineRule="auto" w:line="240"/>
          <w:ind w:hanging="0"/>
          <w:jc w:val="center"/>
          <w:rPr>
            <w:rFonts w:ascii="Liberation Sans" w:hAnsi="Liberation Sans"/>
            <w:sz w:val="20"/>
            <w:szCs w:val="20"/>
          </w:rPr>
        </w:pPr>
        <w:r>
          <w:drawing>
            <wp:anchor behindDoc="1" distT="0" distB="0" distL="0" distR="0" simplePos="0" locked="0" layoutInCell="1" allowOverlap="1" relativeHeight="270">
              <wp:simplePos x="0" y="0"/>
              <wp:positionH relativeFrom="column">
                <wp:posOffset>-1070610</wp:posOffset>
              </wp:positionH>
              <wp:positionV relativeFrom="paragraph">
                <wp:posOffset>162560</wp:posOffset>
              </wp:positionV>
              <wp:extent cx="7595870" cy="899160"/>
              <wp:effectExtent l="0" t="0" r="0" b="0"/>
              <wp:wrapNone/>
              <wp:docPr id="51" name="Imagem 57 Copia 1 Copia 1 Copia 1 Copia 1"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7 Copia 1 Copia 1 Copia 1 Copia 1"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7595870" cy="899160"/>
                      </a:xfrm>
                      <a:prstGeom prst="rect">
                        <a:avLst/>
                      </a:prstGeom>
                    </pic:spPr>
                  </pic:pic>
                </a:graphicData>
              </a:graphic>
            </wp:anchor>
          </w:drawing>
        </w: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08094685"/>
    </w:sdtPr>
    <w:sdtContent>
      <w:p>
        <w:pPr>
          <w:pStyle w:val="Footer"/>
          <w:jc w:val="right"/>
          <w:rPr>
            <w:sz w:val="20"/>
            <w:szCs w:val="20"/>
          </w:rPr>
        </w:pPr>
        <w:r>
          <w:drawing>
            <wp:anchor behindDoc="1" distT="0" distB="0" distL="0" distR="0" simplePos="0" locked="0" layoutInCell="1" allowOverlap="1" relativeHeight="261">
              <wp:simplePos x="0" y="0"/>
              <wp:positionH relativeFrom="column">
                <wp:posOffset>-1062990</wp:posOffset>
              </wp:positionH>
              <wp:positionV relativeFrom="paragraph">
                <wp:posOffset>295910</wp:posOffset>
              </wp:positionV>
              <wp:extent cx="7595870" cy="899160"/>
              <wp:effectExtent l="0" t="0" r="0" b="0"/>
              <wp:wrapNone/>
              <wp:docPr id="59" name="Figura30 Copia 1 Copia 1 Copia 1 Copia 1 Copia 1"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a30 Copia 1 Copia 1 Copia 1 Copia 1 Copia 1"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7595870" cy="899160"/>
                      </a:xfrm>
                      <a:prstGeom prst="rect">
                        <a:avLst/>
                      </a:prstGeom>
                    </pic:spPr>
                  </pic:pic>
                </a:graphicData>
              </a:graphic>
            </wp:anchor>
          </w:drawing>
        </w:r>
        <w:r>
          <w:rPr>
            <w:sz w:val="20"/>
            <w:szCs w:val="20"/>
          </w:rPr>
          <w:fldChar w:fldCharType="begin"/>
        </w:r>
        <w:r>
          <w:rPr>
            <w:sz w:val="20"/>
            <w:szCs w:val="20"/>
          </w:rPr>
          <w:instrText xml:space="preserve"> PAGE </w:instrText>
        </w:r>
        <w:r>
          <w:rPr>
            <w:sz w:val="20"/>
            <w:szCs w:val="20"/>
          </w:rPr>
          <w:fldChar w:fldCharType="separate"/>
        </w:r>
        <w:r>
          <w:rPr>
            <w:sz w:val="20"/>
            <w:szCs w:val="20"/>
          </w:rPr>
          <w:t>64</w:t>
        </w:r>
        <w:r>
          <w:rPr>
            <w:sz w:val="20"/>
            <w:szCs w:val="20"/>
          </w:rPr>
          <w:fldChar w:fldCharType="end"/>
        </w:r>
        <w:r>
          <w:rPr>
            <w:sz w:val="20"/>
            <w:szCs w:val="20"/>
          </w:rPr>
          <w:t xml:space="preserve"> </w:t>
        </w:r>
        <w:r>
          <w:rPr>
            <w:sz w:val="20"/>
            <w:szCs w:val="20"/>
          </w:rPr>
          <w:t xml:space="preserve">- </w:t>
        </w:r>
        <w:r>
          <w:rPr>
            <w:sz w:val="20"/>
            <w:szCs w:val="20"/>
          </w:rPr>
          <w:fldChar w:fldCharType="begin"/>
        </w:r>
        <w:r>
          <w:rPr>
            <w:sz w:val="20"/>
            <w:szCs w:val="20"/>
          </w:rPr>
          <w:instrText xml:space="preserve"> NUMPAGES </w:instrText>
        </w:r>
        <w:r>
          <w:rPr>
            <w:sz w:val="20"/>
            <w:szCs w:val="20"/>
          </w:rPr>
          <w:fldChar w:fldCharType="separate"/>
        </w:r>
        <w:r>
          <w:rPr>
            <w:sz w:val="20"/>
            <w:szCs w:val="20"/>
          </w:rPr>
          <w:t>64</w:t>
        </w:r>
        <w:r>
          <w:rPr>
            <w:sz w:val="20"/>
            <w:szCs w:val="20"/>
          </w:rPr>
          <w:fldChar w:fldCharType="end"/>
        </w:r>
      </w:p>
      <w:p>
        <w:pPr>
          <w:pStyle w:val="Footer"/>
          <w:spacing w:lineRule="auto" w:line="240"/>
          <w:ind w:hanging="0"/>
          <w:jc w:val="center"/>
          <w:rPr>
            <w:sz w:val="20"/>
            <w:szCs w:val="20"/>
          </w:rPr>
        </w:pP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rStyle w:val="Hyperlink1"/>
        <w:rFonts w:ascii="Liberation Sans" w:hAnsi="Liberation Sans" w:cs="Arial"/>
        <w:color w:val="auto"/>
        <w:u w:val="none"/>
        <w:shd w:fill="FFFFFF" w:val="clear"/>
      </w:rPr>
    </w:pPr>
    <w:r>
      <w:rPr>
        <w:rFonts w:cs="Arial" w:ascii="Liberation Sans" w:hAnsi="Liberation Sans"/>
        <w:color w:val="000000"/>
        <w:u w:val="none"/>
        <w:shd w:fill="FFFFFF" w:val="clea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31693463"/>
    </w:sdtPr>
    <w:sdtContent>
      <w:p>
        <w:pPr>
          <w:pStyle w:val="Footer"/>
          <w:jc w:val="right"/>
          <w:rPr>
            <w:sz w:val="20"/>
            <w:szCs w:val="20"/>
          </w:rPr>
        </w:pPr>
        <w:r>
          <w:rPr>
            <w:sz w:val="20"/>
            <w:szCs w:val="20"/>
          </w:rPr>
          <w:fldChar w:fldCharType="begin"/>
        </w:r>
        <w:r>
          <w:rPr>
            <w:sz w:val="20"/>
            <w:szCs w:val="20"/>
          </w:rPr>
          <w:instrText xml:space="preserve"> PAGE </w:instrText>
        </w:r>
        <w:r>
          <w:rPr>
            <w:sz w:val="20"/>
            <w:szCs w:val="20"/>
          </w:rPr>
          <w:fldChar w:fldCharType="separate"/>
        </w:r>
        <w:r>
          <w:rPr>
            <w:sz w:val="20"/>
            <w:szCs w:val="20"/>
          </w:rPr>
          <w:t>63</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Pr>
            <w:sz w:val="20"/>
            <w:szCs w:val="20"/>
          </w:rPr>
          <w:t>64</w:t>
        </w:r>
        <w:r>
          <w:rPr>
            <w:sz w:val="20"/>
            <w:szCs w:val="20"/>
          </w:rPr>
          <w:fldChar w:fldCharType="end"/>
        </w:r>
      </w:p>
      <w:p>
        <w:pPr>
          <w:pStyle w:val="Footer"/>
          <w:spacing w:lineRule="auto" w:line="240"/>
          <w:ind w:hanging="0"/>
          <w:jc w:val="center"/>
          <w:rPr>
            <w:rFonts w:ascii="Liberation Sans" w:hAnsi="Liberation Sans"/>
            <w:sz w:val="20"/>
            <w:szCs w:val="20"/>
          </w:rPr>
        </w:pPr>
        <w:r>
          <w:drawing>
            <wp:anchor behindDoc="1" distT="0" distB="0" distL="0" distR="0" simplePos="0" locked="0" layoutInCell="1" allowOverlap="1" relativeHeight="271">
              <wp:simplePos x="0" y="0"/>
              <wp:positionH relativeFrom="column">
                <wp:posOffset>-1070610</wp:posOffset>
              </wp:positionH>
              <wp:positionV relativeFrom="paragraph">
                <wp:posOffset>162560</wp:posOffset>
              </wp:positionV>
              <wp:extent cx="7595870" cy="899160"/>
              <wp:effectExtent l="0" t="0" r="0" b="0"/>
              <wp:wrapNone/>
              <wp:docPr id="60" name="Imagem 57 Copia 1 Copia 1 Copia 1 Copia 1 Copia 1"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57 Copia 1 Copia 1 Copia 1 Copia 1 Copia 1"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7595870" cy="899160"/>
                      </a:xfrm>
                      <a:prstGeom prst="rect">
                        <a:avLst/>
                      </a:prstGeom>
                    </pic:spPr>
                  </pic:pic>
                </a:graphicData>
              </a:graphic>
            </wp:anchor>
          </w:drawing>
        </w: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31693463"/>
    </w:sdtPr>
    <w:sdtContent>
      <w:p>
        <w:pPr>
          <w:pStyle w:val="Footer"/>
          <w:jc w:val="right"/>
          <w:rPr>
            <w:sz w:val="20"/>
            <w:szCs w:val="20"/>
          </w:rPr>
        </w:pPr>
        <w:r>
          <w:rPr>
            <w:sz w:val="20"/>
            <w:szCs w:val="20"/>
          </w:rPr>
          <w:fldChar w:fldCharType="begin"/>
        </w:r>
        <w:r>
          <w:rPr>
            <w:sz w:val="20"/>
            <w:szCs w:val="20"/>
          </w:rPr>
          <w:instrText xml:space="preserve"> PAGE </w:instrText>
        </w:r>
        <w:r>
          <w:rPr>
            <w:sz w:val="20"/>
            <w:szCs w:val="20"/>
          </w:rPr>
          <w:fldChar w:fldCharType="separate"/>
        </w:r>
        <w:r>
          <w:rPr>
            <w:sz w:val="20"/>
            <w:szCs w:val="20"/>
          </w:rPr>
          <w:t>1</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Pr>
            <w:sz w:val="20"/>
            <w:szCs w:val="20"/>
          </w:rPr>
          <w:t>64</w:t>
        </w:r>
        <w:r>
          <w:rPr>
            <w:sz w:val="20"/>
            <w:szCs w:val="20"/>
          </w:rPr>
          <w:fldChar w:fldCharType="end"/>
        </w:r>
      </w:p>
      <w:p>
        <w:pPr>
          <w:pStyle w:val="Footer"/>
          <w:spacing w:lineRule="auto" w:line="240"/>
          <w:ind w:hanging="0"/>
          <w:jc w:val="center"/>
          <w:rPr>
            <w:rFonts w:ascii="Liberation Sans" w:hAnsi="Liberation Sans"/>
            <w:sz w:val="20"/>
            <w:szCs w:val="20"/>
          </w:rPr>
        </w:pPr>
        <w:r>
          <w:drawing>
            <wp:anchor behindDoc="1" distT="0" distB="0" distL="0" distR="0" simplePos="0" locked="0" layoutInCell="1" allowOverlap="1" relativeHeight="6">
              <wp:simplePos x="0" y="0"/>
              <wp:positionH relativeFrom="column">
                <wp:posOffset>-1070610</wp:posOffset>
              </wp:positionH>
              <wp:positionV relativeFrom="paragraph">
                <wp:posOffset>162560</wp:posOffset>
              </wp:positionV>
              <wp:extent cx="7595870" cy="899160"/>
              <wp:effectExtent l="0" t="0" r="0" b="0"/>
              <wp:wrapNone/>
              <wp:docPr id="12" name="Imagem 57"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57"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7595870" cy="899160"/>
                      </a:xfrm>
                      <a:prstGeom prst="rect">
                        <a:avLst/>
                      </a:prstGeom>
                    </pic:spPr>
                  </pic:pic>
                </a:graphicData>
              </a:graphic>
            </wp:anchor>
          </w:drawing>
        </w: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08094685"/>
    </w:sdtPr>
    <w:sdtContent>
      <w:p>
        <w:pPr>
          <w:pStyle w:val="Footer"/>
          <w:jc w:val="right"/>
          <w:rPr>
            <w:sz w:val="20"/>
            <w:szCs w:val="20"/>
          </w:rPr>
        </w:pPr>
        <w:r>
          <w:drawing>
            <wp:anchor behindDoc="1" distT="0" distB="0" distL="0" distR="0" simplePos="0" locked="0" layoutInCell="1" allowOverlap="1" relativeHeight="246">
              <wp:simplePos x="0" y="0"/>
              <wp:positionH relativeFrom="column">
                <wp:posOffset>-1062990</wp:posOffset>
              </wp:positionH>
              <wp:positionV relativeFrom="paragraph">
                <wp:posOffset>295910</wp:posOffset>
              </wp:positionV>
              <wp:extent cx="7595870" cy="899160"/>
              <wp:effectExtent l="0" t="0" r="0" b="0"/>
              <wp:wrapNone/>
              <wp:docPr id="19" name="Figura30 Copia 1"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30 Copia 1"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7595870" cy="899160"/>
                      </a:xfrm>
                      <a:prstGeom prst="rect">
                        <a:avLst/>
                      </a:prstGeom>
                    </pic:spPr>
                  </pic:pic>
                </a:graphicData>
              </a:graphic>
            </wp:anchor>
          </w:drawing>
        </w:r>
        <w:r>
          <w:rPr>
            <w:sz w:val="20"/>
            <w:szCs w:val="20"/>
          </w:rPr>
          <w:fldChar w:fldCharType="begin"/>
        </w:r>
        <w:r>
          <w:rPr>
            <w:sz w:val="20"/>
            <w:szCs w:val="20"/>
          </w:rPr>
          <w:instrText xml:space="preserve"> PAGE </w:instrText>
        </w:r>
        <w:r>
          <w:rPr>
            <w:sz w:val="20"/>
            <w:szCs w:val="20"/>
          </w:rPr>
          <w:fldChar w:fldCharType="separate"/>
        </w:r>
        <w:r>
          <w:rPr>
            <w:sz w:val="20"/>
            <w:szCs w:val="20"/>
          </w:rPr>
          <w:t>21</w:t>
        </w:r>
        <w:r>
          <w:rPr>
            <w:sz w:val="20"/>
            <w:szCs w:val="20"/>
          </w:rPr>
          <w:fldChar w:fldCharType="end"/>
        </w:r>
        <w:r>
          <w:rPr>
            <w:sz w:val="20"/>
            <w:szCs w:val="20"/>
          </w:rPr>
          <w:t xml:space="preserve"> </w:t>
        </w:r>
        <w:r>
          <w:rPr>
            <w:sz w:val="20"/>
            <w:szCs w:val="20"/>
          </w:rPr>
          <w:t xml:space="preserve">- </w:t>
        </w:r>
        <w:r>
          <w:rPr>
            <w:sz w:val="20"/>
            <w:szCs w:val="20"/>
          </w:rPr>
          <w:fldChar w:fldCharType="begin"/>
        </w:r>
        <w:r>
          <w:rPr>
            <w:sz w:val="20"/>
            <w:szCs w:val="20"/>
          </w:rPr>
          <w:instrText xml:space="preserve"> NUMPAGES </w:instrText>
        </w:r>
        <w:r>
          <w:rPr>
            <w:sz w:val="20"/>
            <w:szCs w:val="20"/>
          </w:rPr>
          <w:fldChar w:fldCharType="separate"/>
        </w:r>
        <w:r>
          <w:rPr>
            <w:sz w:val="20"/>
            <w:szCs w:val="20"/>
          </w:rPr>
          <w:t>64</w:t>
        </w:r>
        <w:r>
          <w:rPr>
            <w:sz w:val="20"/>
            <w:szCs w:val="20"/>
          </w:rPr>
          <w:fldChar w:fldCharType="end"/>
        </w:r>
      </w:p>
      <w:p>
        <w:pPr>
          <w:pStyle w:val="Footer"/>
          <w:spacing w:lineRule="auto" w:line="240"/>
          <w:ind w:hanging="0"/>
          <w:jc w:val="center"/>
          <w:rPr>
            <w:sz w:val="20"/>
            <w:szCs w:val="20"/>
          </w:rPr>
        </w:pP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rStyle w:val="Hyperlink1"/>
        <w:rFonts w:ascii="Liberation Sans" w:hAnsi="Liberation Sans" w:cs="Arial"/>
        <w:color w:val="auto"/>
        <w:u w:val="none"/>
        <w:shd w:fill="FFFFFF" w:val="clear"/>
      </w:rPr>
    </w:pPr>
    <w:r>
      <w:rPr>
        <w:rFonts w:cs="Arial" w:ascii="Liberation Sans" w:hAnsi="Liberation Sans"/>
        <w:color w:val="000000"/>
        <w:u w:val="none"/>
        <w:shd w:fill="FFFFFF" w:val="clea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31693463"/>
    </w:sdtPr>
    <w:sdtContent>
      <w:p>
        <w:pPr>
          <w:pStyle w:val="Footer"/>
          <w:jc w:val="right"/>
          <w:rPr>
            <w:sz w:val="20"/>
            <w:szCs w:val="20"/>
          </w:rPr>
        </w:pPr>
        <w:r>
          <w:rPr>
            <w:sz w:val="20"/>
            <w:szCs w:val="20"/>
          </w:rPr>
          <w:fldChar w:fldCharType="begin"/>
        </w:r>
        <w:r>
          <w:rPr>
            <w:sz w:val="20"/>
            <w:szCs w:val="20"/>
          </w:rPr>
          <w:instrText xml:space="preserve"> PAGE </w:instrText>
        </w:r>
        <w:r>
          <w:rPr>
            <w:sz w:val="20"/>
            <w:szCs w:val="20"/>
          </w:rPr>
          <w:fldChar w:fldCharType="separate"/>
        </w:r>
        <w:r>
          <w:rPr>
            <w:sz w:val="20"/>
            <w:szCs w:val="20"/>
          </w:rPr>
          <w:t>19</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Pr>
            <w:sz w:val="20"/>
            <w:szCs w:val="20"/>
          </w:rPr>
          <w:t>64</w:t>
        </w:r>
        <w:r>
          <w:rPr>
            <w:sz w:val="20"/>
            <w:szCs w:val="20"/>
          </w:rPr>
          <w:fldChar w:fldCharType="end"/>
        </w:r>
      </w:p>
      <w:p>
        <w:pPr>
          <w:pStyle w:val="Footer"/>
          <w:spacing w:lineRule="auto" w:line="240"/>
          <w:ind w:hanging="0"/>
          <w:jc w:val="center"/>
          <w:rPr>
            <w:rFonts w:ascii="Liberation Sans" w:hAnsi="Liberation Sans"/>
            <w:sz w:val="20"/>
            <w:szCs w:val="20"/>
          </w:rPr>
        </w:pPr>
        <w:r>
          <w:drawing>
            <wp:anchor behindDoc="1" distT="0" distB="0" distL="0" distR="0" simplePos="0" locked="0" layoutInCell="1" allowOverlap="1" relativeHeight="247">
              <wp:simplePos x="0" y="0"/>
              <wp:positionH relativeFrom="column">
                <wp:posOffset>-1070610</wp:posOffset>
              </wp:positionH>
              <wp:positionV relativeFrom="paragraph">
                <wp:posOffset>162560</wp:posOffset>
              </wp:positionV>
              <wp:extent cx="7595870" cy="899160"/>
              <wp:effectExtent l="0" t="0" r="0" b="0"/>
              <wp:wrapNone/>
              <wp:docPr id="20" name="Imagem 57 Copia 1"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57 Copia 1"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7595870" cy="899160"/>
                      </a:xfrm>
                      <a:prstGeom prst="rect">
                        <a:avLst/>
                      </a:prstGeom>
                    </pic:spPr>
                  </pic:pic>
                </a:graphicData>
              </a:graphic>
            </wp:anchor>
          </w:drawing>
        </w: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08094685"/>
    </w:sdtPr>
    <w:sdtContent>
      <w:p>
        <w:pPr>
          <w:pStyle w:val="Footer"/>
          <w:jc w:val="right"/>
          <w:rPr>
            <w:sz w:val="20"/>
            <w:szCs w:val="20"/>
          </w:rPr>
        </w:pPr>
        <w:r>
          <w:drawing>
            <wp:anchor behindDoc="1" distT="0" distB="0" distL="0" distR="0" simplePos="0" locked="0" layoutInCell="1" allowOverlap="1" relativeHeight="32">
              <wp:simplePos x="0" y="0"/>
              <wp:positionH relativeFrom="column">
                <wp:posOffset>-1062990</wp:posOffset>
              </wp:positionH>
              <wp:positionV relativeFrom="paragraph">
                <wp:posOffset>295910</wp:posOffset>
              </wp:positionV>
              <wp:extent cx="7595870" cy="899160"/>
              <wp:effectExtent l="0" t="0" r="0" b="0"/>
              <wp:wrapNone/>
              <wp:docPr id="31" name="Figura30 Copia 1 Copia 1"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a30 Copia 1 Copia 1"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7595870" cy="899160"/>
                      </a:xfrm>
                      <a:prstGeom prst="rect">
                        <a:avLst/>
                      </a:prstGeom>
                    </pic:spPr>
                  </pic:pic>
                </a:graphicData>
              </a:graphic>
            </wp:anchor>
          </w:drawing>
        </w:r>
        <w:r>
          <w:rPr>
            <w:sz w:val="20"/>
            <w:szCs w:val="20"/>
          </w:rPr>
          <w:fldChar w:fldCharType="begin"/>
        </w:r>
        <w:r>
          <w:rPr>
            <w:sz w:val="20"/>
            <w:szCs w:val="20"/>
          </w:rPr>
          <w:instrText xml:space="preserve"> PAGE </w:instrText>
        </w:r>
        <w:r>
          <w:rPr>
            <w:sz w:val="20"/>
            <w:szCs w:val="20"/>
          </w:rPr>
          <w:fldChar w:fldCharType="separate"/>
        </w:r>
        <w:r>
          <w:rPr>
            <w:sz w:val="20"/>
            <w:szCs w:val="20"/>
          </w:rPr>
          <w:t>28</w:t>
        </w:r>
        <w:r>
          <w:rPr>
            <w:sz w:val="20"/>
            <w:szCs w:val="20"/>
          </w:rPr>
          <w:fldChar w:fldCharType="end"/>
        </w:r>
        <w:r>
          <w:rPr>
            <w:sz w:val="20"/>
            <w:szCs w:val="20"/>
          </w:rPr>
          <w:t xml:space="preserve"> </w:t>
        </w:r>
        <w:r>
          <w:rPr>
            <w:sz w:val="20"/>
            <w:szCs w:val="20"/>
          </w:rPr>
          <w:t xml:space="preserve">- </w:t>
        </w:r>
        <w:r>
          <w:rPr>
            <w:sz w:val="20"/>
            <w:szCs w:val="20"/>
          </w:rPr>
          <w:fldChar w:fldCharType="begin"/>
        </w:r>
        <w:r>
          <w:rPr>
            <w:sz w:val="20"/>
            <w:szCs w:val="20"/>
          </w:rPr>
          <w:instrText xml:space="preserve"> NUMPAGES </w:instrText>
        </w:r>
        <w:r>
          <w:rPr>
            <w:sz w:val="20"/>
            <w:szCs w:val="20"/>
          </w:rPr>
          <w:fldChar w:fldCharType="separate"/>
        </w:r>
        <w:r>
          <w:rPr>
            <w:sz w:val="20"/>
            <w:szCs w:val="20"/>
          </w:rPr>
          <w:t>64</w:t>
        </w:r>
        <w:r>
          <w:rPr>
            <w:sz w:val="20"/>
            <w:szCs w:val="20"/>
          </w:rPr>
          <w:fldChar w:fldCharType="end"/>
        </w:r>
      </w:p>
      <w:p>
        <w:pPr>
          <w:pStyle w:val="Footer"/>
          <w:spacing w:lineRule="auto" w:line="240"/>
          <w:ind w:hanging="0"/>
          <w:jc w:val="center"/>
          <w:rPr>
            <w:sz w:val="20"/>
            <w:szCs w:val="20"/>
          </w:rPr>
        </w:pP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rStyle w:val="Hyperlink1"/>
        <w:rFonts w:ascii="Liberation Sans" w:hAnsi="Liberation Sans" w:cs="Arial"/>
        <w:color w:val="auto"/>
        <w:u w:val="none"/>
        <w:shd w:fill="FFFFFF" w:val="clear"/>
      </w:rPr>
    </w:pPr>
    <w:r>
      <w:rPr>
        <w:rFonts w:cs="Arial" w:ascii="Liberation Sans" w:hAnsi="Liberation Sans"/>
        <w:color w:val="000000"/>
        <w:u w:val="none"/>
        <w:shd w:fill="FFFFFF" w:val="clea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31693463"/>
    </w:sdtPr>
    <w:sdtContent>
      <w:p>
        <w:pPr>
          <w:pStyle w:val="Footer"/>
          <w:jc w:val="right"/>
          <w:rPr>
            <w:sz w:val="20"/>
            <w:szCs w:val="20"/>
          </w:rPr>
        </w:pPr>
        <w:r>
          <w:rPr>
            <w:sz w:val="20"/>
            <w:szCs w:val="20"/>
          </w:rPr>
          <w:fldChar w:fldCharType="begin"/>
        </w:r>
        <w:r>
          <w:rPr>
            <w:sz w:val="20"/>
            <w:szCs w:val="20"/>
          </w:rPr>
          <w:instrText xml:space="preserve"> PAGE </w:instrText>
        </w:r>
        <w:r>
          <w:rPr>
            <w:sz w:val="20"/>
            <w:szCs w:val="20"/>
          </w:rPr>
          <w:fldChar w:fldCharType="separate"/>
        </w:r>
        <w:r>
          <w:rPr>
            <w:sz w:val="20"/>
            <w:szCs w:val="20"/>
          </w:rPr>
          <w:t>25</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Pr>
            <w:sz w:val="20"/>
            <w:szCs w:val="20"/>
          </w:rPr>
          <w:t>64</w:t>
        </w:r>
        <w:r>
          <w:rPr>
            <w:sz w:val="20"/>
            <w:szCs w:val="20"/>
          </w:rPr>
          <w:fldChar w:fldCharType="end"/>
        </w:r>
      </w:p>
      <w:p>
        <w:pPr>
          <w:pStyle w:val="Footer"/>
          <w:spacing w:lineRule="auto" w:line="240"/>
          <w:ind w:hanging="0"/>
          <w:jc w:val="center"/>
          <w:rPr>
            <w:rFonts w:ascii="Liberation Sans" w:hAnsi="Liberation Sans"/>
            <w:sz w:val="20"/>
            <w:szCs w:val="20"/>
          </w:rPr>
        </w:pPr>
        <w:r>
          <w:drawing>
            <wp:anchor behindDoc="1" distT="0" distB="0" distL="0" distR="0" simplePos="0" locked="0" layoutInCell="1" allowOverlap="1" relativeHeight="262">
              <wp:simplePos x="0" y="0"/>
              <wp:positionH relativeFrom="column">
                <wp:posOffset>-1070610</wp:posOffset>
              </wp:positionH>
              <wp:positionV relativeFrom="paragraph">
                <wp:posOffset>162560</wp:posOffset>
              </wp:positionV>
              <wp:extent cx="7595870" cy="899160"/>
              <wp:effectExtent l="0" t="0" r="0" b="0"/>
              <wp:wrapNone/>
              <wp:docPr id="32" name="Imagem 57 Copia 1 Copia 1"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57 Copia 1 Copia 1"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7595870" cy="899160"/>
                      </a:xfrm>
                      <a:prstGeom prst="rect">
                        <a:avLst/>
                      </a:prstGeom>
                    </pic:spPr>
                  </pic:pic>
                </a:graphicData>
              </a:graphic>
            </wp:anchor>
          </w:drawing>
        </w: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08094685"/>
    </w:sdtPr>
    <w:sdtContent>
      <w:p>
        <w:pPr>
          <w:pStyle w:val="Footer"/>
          <w:jc w:val="right"/>
          <w:rPr>
            <w:sz w:val="20"/>
            <w:szCs w:val="20"/>
          </w:rPr>
        </w:pPr>
        <w:r>
          <w:drawing>
            <wp:anchor behindDoc="1" distT="0" distB="0" distL="0" distR="0" simplePos="0" locked="0" layoutInCell="1" allowOverlap="1" relativeHeight="231">
              <wp:simplePos x="0" y="0"/>
              <wp:positionH relativeFrom="column">
                <wp:posOffset>-1062990</wp:posOffset>
              </wp:positionH>
              <wp:positionV relativeFrom="paragraph">
                <wp:posOffset>295910</wp:posOffset>
              </wp:positionV>
              <wp:extent cx="10674985" cy="899160"/>
              <wp:effectExtent l="0" t="0" r="0" b="0"/>
              <wp:wrapNone/>
              <wp:docPr id="39" name="Figura30 Copia 1 Copia 1 Copia 1"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a30 Copia 1 Copia 1 Copia 1"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10674985" cy="899160"/>
                      </a:xfrm>
                      <a:prstGeom prst="rect">
                        <a:avLst/>
                      </a:prstGeom>
                    </pic:spPr>
                  </pic:pic>
                </a:graphicData>
              </a:graphic>
            </wp:anchor>
          </w:drawing>
        </w:r>
        <w:r>
          <w:rPr>
            <w:sz w:val="20"/>
            <w:szCs w:val="20"/>
          </w:rPr>
          <w:fldChar w:fldCharType="begin"/>
        </w:r>
        <w:r>
          <w:rPr>
            <w:sz w:val="20"/>
            <w:szCs w:val="20"/>
          </w:rPr>
          <w:instrText xml:space="preserve"> PAGE </w:instrText>
        </w:r>
        <w:r>
          <w:rPr>
            <w:sz w:val="20"/>
            <w:szCs w:val="20"/>
          </w:rPr>
          <w:fldChar w:fldCharType="separate"/>
        </w:r>
        <w:r>
          <w:rPr>
            <w:sz w:val="20"/>
            <w:szCs w:val="20"/>
          </w:rPr>
          <w:t>34</w:t>
        </w:r>
        <w:r>
          <w:rPr>
            <w:sz w:val="20"/>
            <w:szCs w:val="20"/>
          </w:rPr>
          <w:fldChar w:fldCharType="end"/>
        </w:r>
        <w:r>
          <w:rPr>
            <w:sz w:val="20"/>
            <w:szCs w:val="20"/>
          </w:rPr>
          <w:t xml:space="preserve"> </w:t>
        </w:r>
        <w:r>
          <w:rPr>
            <w:sz w:val="20"/>
            <w:szCs w:val="20"/>
          </w:rPr>
          <w:t xml:space="preserve">- </w:t>
        </w:r>
        <w:r>
          <w:rPr>
            <w:sz w:val="20"/>
            <w:szCs w:val="20"/>
          </w:rPr>
          <w:fldChar w:fldCharType="begin"/>
        </w:r>
        <w:r>
          <w:rPr>
            <w:sz w:val="20"/>
            <w:szCs w:val="20"/>
          </w:rPr>
          <w:instrText xml:space="preserve"> NUMPAGES </w:instrText>
        </w:r>
        <w:r>
          <w:rPr>
            <w:sz w:val="20"/>
            <w:szCs w:val="20"/>
          </w:rPr>
          <w:fldChar w:fldCharType="separate"/>
        </w:r>
        <w:r>
          <w:rPr>
            <w:sz w:val="20"/>
            <w:szCs w:val="20"/>
          </w:rPr>
          <w:t>64</w:t>
        </w:r>
        <w:r>
          <w:rPr>
            <w:sz w:val="20"/>
            <w:szCs w:val="20"/>
          </w:rPr>
          <w:fldChar w:fldCharType="end"/>
        </w:r>
      </w:p>
      <w:p>
        <w:pPr>
          <w:pStyle w:val="Footer"/>
          <w:spacing w:lineRule="auto" w:line="240"/>
          <w:ind w:hanging="0"/>
          <w:jc w:val="center"/>
          <w:rPr>
            <w:sz w:val="20"/>
            <w:szCs w:val="20"/>
          </w:rPr>
        </w:pP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rStyle w:val="Hyperlink1"/>
        <w:rFonts w:ascii="Liberation Sans" w:hAnsi="Liberation Sans" w:cs="Arial"/>
        <w:color w:val="auto"/>
        <w:u w:val="none"/>
        <w:shd w:fill="FFFFFF" w:val="clear"/>
      </w:rPr>
    </w:pPr>
    <w:r>
      <w:rPr>
        <w:rFonts w:cs="Arial" w:ascii="Liberation Sans" w:hAnsi="Liberation Sans"/>
        <w:color w:val="000000"/>
        <w:u w:val="none"/>
        <w:shd w:fill="FFFFFF" w:val="clea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31693463"/>
    </w:sdtPr>
    <w:sdtContent>
      <w:p>
        <w:pPr>
          <w:pStyle w:val="Footer"/>
          <w:jc w:val="right"/>
          <w:rPr>
            <w:sz w:val="20"/>
            <w:szCs w:val="20"/>
          </w:rPr>
        </w:pPr>
        <w:r>
          <w:rPr>
            <w:sz w:val="20"/>
            <w:szCs w:val="20"/>
          </w:rPr>
          <w:fldChar w:fldCharType="begin"/>
        </w:r>
        <w:r>
          <w:rPr>
            <w:sz w:val="20"/>
            <w:szCs w:val="20"/>
          </w:rPr>
          <w:instrText xml:space="preserve"> PAGE </w:instrText>
        </w:r>
        <w:r>
          <w:rPr>
            <w:sz w:val="20"/>
            <w:szCs w:val="20"/>
          </w:rPr>
          <w:fldChar w:fldCharType="separate"/>
        </w:r>
        <w:r>
          <w:rPr>
            <w:sz w:val="20"/>
            <w:szCs w:val="20"/>
          </w:rPr>
          <w:t>31</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Pr>
            <w:sz w:val="20"/>
            <w:szCs w:val="20"/>
          </w:rPr>
          <w:t>64</w:t>
        </w:r>
        <w:r>
          <w:rPr>
            <w:sz w:val="20"/>
            <w:szCs w:val="20"/>
          </w:rPr>
          <w:fldChar w:fldCharType="end"/>
        </w:r>
      </w:p>
      <w:p>
        <w:pPr>
          <w:pStyle w:val="Footer"/>
          <w:spacing w:lineRule="auto" w:line="240"/>
          <w:ind w:hanging="0"/>
          <w:jc w:val="center"/>
          <w:rPr>
            <w:rFonts w:ascii="Liberation Sans" w:hAnsi="Liberation Sans"/>
            <w:sz w:val="20"/>
            <w:szCs w:val="20"/>
          </w:rPr>
        </w:pPr>
        <w:r>
          <w:drawing>
            <wp:anchor behindDoc="1" distT="0" distB="0" distL="0" distR="0" simplePos="0" locked="0" layoutInCell="1" allowOverlap="1" relativeHeight="269">
              <wp:simplePos x="0" y="0"/>
              <wp:positionH relativeFrom="column">
                <wp:posOffset>-1070610</wp:posOffset>
              </wp:positionH>
              <wp:positionV relativeFrom="paragraph">
                <wp:posOffset>162560</wp:posOffset>
              </wp:positionV>
              <wp:extent cx="7595870" cy="899160"/>
              <wp:effectExtent l="0" t="0" r="0" b="0"/>
              <wp:wrapNone/>
              <wp:docPr id="40" name="Imagem 57 Copia 1 Copia 1 Copia 1"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57 Copia 1 Copia 1 Copia 1"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7595870" cy="899160"/>
                      </a:xfrm>
                      <a:prstGeom prst="rect">
                        <a:avLst/>
                      </a:prstGeom>
                    </pic:spPr>
                  </pic:pic>
                </a:graphicData>
              </a:graphic>
            </wp:anchor>
          </w:drawing>
        </w: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08094685"/>
    </w:sdtPr>
    <w:sdtContent>
      <w:p>
        <w:pPr>
          <w:pStyle w:val="Footer"/>
          <w:jc w:val="right"/>
          <w:rPr>
            <w:sz w:val="20"/>
            <w:szCs w:val="20"/>
          </w:rPr>
        </w:pPr>
        <w:r>
          <w:drawing>
            <wp:anchor behindDoc="1" distT="0" distB="0" distL="0" distR="0" simplePos="0" locked="0" layoutInCell="1" allowOverlap="1" relativeHeight="260">
              <wp:simplePos x="0" y="0"/>
              <wp:positionH relativeFrom="column">
                <wp:posOffset>-1062990</wp:posOffset>
              </wp:positionH>
              <wp:positionV relativeFrom="paragraph">
                <wp:posOffset>295910</wp:posOffset>
              </wp:positionV>
              <wp:extent cx="7595870" cy="899160"/>
              <wp:effectExtent l="0" t="0" r="0" b="0"/>
              <wp:wrapNone/>
              <wp:docPr id="50" name="Figura30 Copia 1 Copia 1 Copia 1 Copia 1" descr="Ícon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a30 Copia 1 Copia 1 Copia 1 Copia 1" descr="Ícone&#10;&#10;Descrição gerada automaticamente com confiança média"/>
                      <pic:cNvPicPr>
                        <a:picLocks noChangeAspect="1" noChangeArrowheads="1"/>
                      </pic:cNvPicPr>
                    </pic:nvPicPr>
                    <pic:blipFill>
                      <a:blip r:embed="rId1"/>
                      <a:srcRect l="904" t="0" r="0" b="0"/>
                      <a:stretch>
                        <a:fillRect/>
                      </a:stretch>
                    </pic:blipFill>
                    <pic:spPr bwMode="auto">
                      <a:xfrm>
                        <a:off x="0" y="0"/>
                        <a:ext cx="7595870" cy="899160"/>
                      </a:xfrm>
                      <a:prstGeom prst="rect">
                        <a:avLst/>
                      </a:prstGeom>
                    </pic:spPr>
                  </pic:pic>
                </a:graphicData>
              </a:graphic>
            </wp:anchor>
          </w:drawing>
        </w:r>
        <w:r>
          <w:rPr>
            <w:sz w:val="20"/>
            <w:szCs w:val="20"/>
          </w:rPr>
          <w:fldChar w:fldCharType="begin"/>
        </w:r>
        <w:r>
          <w:rPr>
            <w:sz w:val="20"/>
            <w:szCs w:val="20"/>
          </w:rPr>
          <w:instrText xml:space="preserve"> PAGE </w:instrText>
        </w:r>
        <w:r>
          <w:rPr>
            <w:sz w:val="20"/>
            <w:szCs w:val="20"/>
          </w:rPr>
          <w:fldChar w:fldCharType="separate"/>
        </w:r>
        <w:r>
          <w:rPr>
            <w:sz w:val="20"/>
            <w:szCs w:val="20"/>
          </w:rPr>
          <w:t>50</w:t>
        </w:r>
        <w:r>
          <w:rPr>
            <w:sz w:val="20"/>
            <w:szCs w:val="20"/>
          </w:rPr>
          <w:fldChar w:fldCharType="end"/>
        </w:r>
        <w:r>
          <w:rPr>
            <w:sz w:val="20"/>
            <w:szCs w:val="20"/>
          </w:rPr>
          <w:t xml:space="preserve"> </w:t>
        </w:r>
        <w:r>
          <w:rPr>
            <w:sz w:val="20"/>
            <w:szCs w:val="20"/>
          </w:rPr>
          <w:t xml:space="preserve">- </w:t>
        </w:r>
        <w:r>
          <w:rPr>
            <w:sz w:val="20"/>
            <w:szCs w:val="20"/>
          </w:rPr>
          <w:fldChar w:fldCharType="begin"/>
        </w:r>
        <w:r>
          <w:rPr>
            <w:sz w:val="20"/>
            <w:szCs w:val="20"/>
          </w:rPr>
          <w:instrText xml:space="preserve"> NUMPAGES </w:instrText>
        </w:r>
        <w:r>
          <w:rPr>
            <w:sz w:val="20"/>
            <w:szCs w:val="20"/>
          </w:rPr>
          <w:fldChar w:fldCharType="separate"/>
        </w:r>
        <w:r>
          <w:rPr>
            <w:sz w:val="20"/>
            <w:szCs w:val="20"/>
          </w:rPr>
          <w:t>64</w:t>
        </w:r>
        <w:r>
          <w:rPr>
            <w:sz w:val="20"/>
            <w:szCs w:val="20"/>
          </w:rPr>
          <w:fldChar w:fldCharType="end"/>
        </w:r>
      </w:p>
      <w:p>
        <w:pPr>
          <w:pStyle w:val="Footer"/>
          <w:spacing w:lineRule="auto" w:line="240"/>
          <w:ind w:hanging="0"/>
          <w:jc w:val="center"/>
          <w:rPr>
            <w:sz w:val="20"/>
            <w:szCs w:val="20"/>
          </w:rPr>
        </w:pPr>
        <w:r>
          <w:rPr>
            <w:rFonts w:ascii="Liberation Sans" w:hAnsi="Liberation Sans"/>
            <w:sz w:val="20"/>
            <w:szCs w:val="20"/>
          </w:rPr>
          <w:t xml:space="preserve">Av. Hercílio Amante, 235 – Próspera – Sala 01, Criciúma - SC, 88815-010. </w:t>
        </w:r>
      </w:p>
    </w:sdtContent>
  </w:sdt>
  <w:p>
    <w:pPr>
      <w:pStyle w:val="Footer"/>
      <w:tabs>
        <w:tab w:val="center" w:pos="4252" w:leader="none"/>
        <w:tab w:val="center" w:pos="5103" w:leader="none"/>
        <w:tab w:val="right" w:pos="8504" w:leader="none"/>
      </w:tabs>
      <w:spacing w:lineRule="auto" w:line="240"/>
      <w:ind w:hanging="0"/>
      <w:jc w:val="center"/>
      <w:rPr>
        <w:sz w:val="20"/>
        <w:szCs w:val="20"/>
      </w:rPr>
    </w:pPr>
    <w:r>
      <w:rPr>
        <w:sz w:val="20"/>
        <w:szCs w:val="20"/>
      </w:rPr>
      <w:t>Tel.: 048 9 9858-4346 - https://www.topocart.com.br/geo360 - comercial@vm2info.com</w:t>
    </w:r>
  </w:p>
  <w:p>
    <w:pPr>
      <w:pStyle w:val="Footer"/>
      <w:tabs>
        <w:tab w:val="center" w:pos="4252" w:leader="none"/>
        <w:tab w:val="center" w:pos="5103" w:leader="none"/>
        <w:tab w:val="right" w:pos="8504" w:leader="none"/>
      </w:tabs>
      <w:spacing w:lineRule="auto" w:line="240"/>
      <w:ind w:hanging="0"/>
      <w:jc w:val="center"/>
      <w:rPr>
        <w:rStyle w:val="Hyperlink1"/>
        <w:rFonts w:ascii="Liberation Sans" w:hAnsi="Liberation Sans" w:cs="Arial"/>
        <w:color w:val="auto"/>
        <w:u w:val="none"/>
        <w:shd w:fill="FFFFFF" w:val="clear"/>
      </w:rPr>
    </w:pPr>
    <w:r>
      <w:rPr>
        <w:rFonts w:cs="Arial" w:ascii="Liberation Sans" w:hAnsi="Liberation Sans"/>
        <w:color w:val="000000"/>
        <w:u w:val="none"/>
        <w:shd w:fill="FFFFFF" w:val="clea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2"/>
      <w:gridCol w:w="5194"/>
      <w:gridCol w:w="1666"/>
    </w:tblGrid>
    <w:tr>
      <w:trPr>
        <w:trHeight w:val="1550" w:hRule="atLeast"/>
      </w:trPr>
      <w:tc>
        <w:tcPr>
          <w:tcW w:w="2212"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5" name="Figura13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13 Copia 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4"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PLANO DE AÇÃO CORRETIVA: </w:t>
          </w:r>
          <w:r>
            <w:rPr>
              <w:rFonts w:cs="Arial"/>
              <w:b/>
              <w:caps/>
              <w:spacing w:val="40"/>
              <w:sz w:val="22"/>
            </w:rPr>
            <w:t>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09650" cy="230505"/>
                <wp:effectExtent l="0" t="0" r="0" b="0"/>
                <wp:docPr id="6" name="Figura14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14 Copia 1" descr=""/>
                        <pic:cNvPicPr>
                          <a:picLocks noChangeAspect="1" noChangeArrowheads="1"/>
                        </pic:cNvPicPr>
                      </pic:nvPicPr>
                      <pic:blipFill>
                        <a:blip r:embed="rId2"/>
                        <a:stretch>
                          <a:fillRect/>
                        </a:stretch>
                      </pic:blipFill>
                      <pic:spPr bwMode="auto">
                        <a:xfrm>
                          <a:off x="0" y="0"/>
                          <a:ext cx="1009650" cy="230505"/>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7" name="Figura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29"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2"/>
      <w:gridCol w:w="5194"/>
      <w:gridCol w:w="1666"/>
    </w:tblGrid>
    <w:tr>
      <w:trPr>
        <w:trHeight w:val="1550" w:hRule="atLeast"/>
      </w:trPr>
      <w:tc>
        <w:tcPr>
          <w:tcW w:w="2212"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47" name="Figura31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a31 Copia 1 Copia 1 Copia 1 Copia 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4"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DISPONIBILIZAÇÃO </w:t>
          </w:r>
          <w:r>
            <w:rPr>
              <w:rFonts w:cs="Arial"/>
              <w:b/>
              <w:caps/>
              <w:spacing w:val="40"/>
              <w:sz w:val="22"/>
            </w:rPr>
            <w:t>de software destinado à implantação do 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16000" cy="232410"/>
                <wp:effectExtent l="0" t="0" r="0" b="0"/>
                <wp:docPr id="48" name="Figura32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a32 Copia 1 Copia 1 Copia 1 Copia 1" descr=""/>
                        <pic:cNvPicPr>
                          <a:picLocks noChangeAspect="1" noChangeArrowheads="1"/>
                        </pic:cNvPicPr>
                      </pic:nvPicPr>
                      <pic:blipFill>
                        <a:blip r:embed="rId2"/>
                        <a:stretch>
                          <a:fillRect/>
                        </a:stretch>
                      </pic:blipFill>
                      <pic:spPr bwMode="auto">
                        <a:xfrm>
                          <a:off x="0" y="0"/>
                          <a:ext cx="1016000" cy="232410"/>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49" name="Figura33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a33 Copia 1 Copia 1 Copia 1 Copia 1"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2"/>
      <w:gridCol w:w="5194"/>
      <w:gridCol w:w="1666"/>
    </w:tblGrid>
    <w:tr>
      <w:trPr>
        <w:trHeight w:val="1550" w:hRule="atLeast"/>
      </w:trPr>
      <w:tc>
        <w:tcPr>
          <w:tcW w:w="2212"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53" name="Figura13 Copia 1 Copia 1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ura13 Copia 1 Copia 1 Copia 1 Copia 1 Copia 1 Copia 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4"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PLANO DE AÇÃO CORRETIVA: </w:t>
          </w:r>
          <w:r>
            <w:rPr>
              <w:rFonts w:cs="Arial"/>
              <w:b/>
              <w:caps/>
              <w:spacing w:val="40"/>
              <w:sz w:val="22"/>
            </w:rPr>
            <w:t>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09650" cy="230505"/>
                <wp:effectExtent l="0" t="0" r="0" b="0"/>
                <wp:docPr id="54" name="Figura14 Copia 1 Copia 1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a14 Copia 1 Copia 1 Copia 1 Copia 1 Copia 1 Copia 1" descr=""/>
                        <pic:cNvPicPr>
                          <a:picLocks noChangeAspect="1" noChangeArrowheads="1"/>
                        </pic:cNvPicPr>
                      </pic:nvPicPr>
                      <pic:blipFill>
                        <a:blip r:embed="rId2"/>
                        <a:stretch>
                          <a:fillRect/>
                        </a:stretch>
                      </pic:blipFill>
                      <pic:spPr bwMode="auto">
                        <a:xfrm>
                          <a:off x="0" y="0"/>
                          <a:ext cx="1009650" cy="230505"/>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55" name="Figura29 Copia 1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ura29 Copia 1 Copia 1 Copia 1 Copia 1 Copia 1"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2"/>
      <w:gridCol w:w="5194"/>
      <w:gridCol w:w="1666"/>
    </w:tblGrid>
    <w:tr>
      <w:trPr>
        <w:trHeight w:val="1550" w:hRule="atLeast"/>
      </w:trPr>
      <w:tc>
        <w:tcPr>
          <w:tcW w:w="2212"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56" name="Figura31 Copia 1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a31 Copia 1 Copia 1 Copia 1 Copia 1 Copia 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4"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DISPONIBILIZAÇÃO </w:t>
          </w:r>
          <w:r>
            <w:rPr>
              <w:rFonts w:cs="Arial"/>
              <w:b/>
              <w:caps/>
              <w:spacing w:val="40"/>
              <w:sz w:val="22"/>
            </w:rPr>
            <w:t>de software destinado à implantação do 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16000" cy="232410"/>
                <wp:effectExtent l="0" t="0" r="0" b="0"/>
                <wp:docPr id="57" name="Figura32 Copia 1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a32 Copia 1 Copia 1 Copia 1 Copia 1 Copia 1" descr=""/>
                        <pic:cNvPicPr>
                          <a:picLocks noChangeAspect="1" noChangeArrowheads="1"/>
                        </pic:cNvPicPr>
                      </pic:nvPicPr>
                      <pic:blipFill>
                        <a:blip r:embed="rId2"/>
                        <a:stretch>
                          <a:fillRect/>
                        </a:stretch>
                      </pic:blipFill>
                      <pic:spPr bwMode="auto">
                        <a:xfrm>
                          <a:off x="0" y="0"/>
                          <a:ext cx="1016000" cy="232410"/>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58" name="Figura33 Copia 1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a33 Copia 1 Copia 1 Copia 1 Copia 1 Copia 1"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2"/>
      <w:gridCol w:w="5194"/>
      <w:gridCol w:w="1666"/>
    </w:tblGrid>
    <w:tr>
      <w:trPr>
        <w:trHeight w:val="1550" w:hRule="atLeast"/>
      </w:trPr>
      <w:tc>
        <w:tcPr>
          <w:tcW w:w="2212"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8" name="Figura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3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4"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DISPONIBILIZAÇÃO </w:t>
          </w:r>
          <w:r>
            <w:rPr>
              <w:rFonts w:cs="Arial"/>
              <w:b/>
              <w:caps/>
              <w:spacing w:val="40"/>
              <w:sz w:val="22"/>
            </w:rPr>
            <w:t>de software destinado à implantação do 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16000" cy="232410"/>
                <wp:effectExtent l="0" t="0" r="0" b="0"/>
                <wp:docPr id="9" name="Figura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32" descr=""/>
                        <pic:cNvPicPr>
                          <a:picLocks noChangeAspect="1" noChangeArrowheads="1"/>
                        </pic:cNvPicPr>
                      </pic:nvPicPr>
                      <pic:blipFill>
                        <a:blip r:embed="rId2"/>
                        <a:stretch>
                          <a:fillRect/>
                        </a:stretch>
                      </pic:blipFill>
                      <pic:spPr bwMode="auto">
                        <a:xfrm>
                          <a:off x="0" y="0"/>
                          <a:ext cx="1016000" cy="232410"/>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10" name="Figura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33"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2"/>
      <w:gridCol w:w="5194"/>
      <w:gridCol w:w="1666"/>
    </w:tblGrid>
    <w:tr>
      <w:trPr>
        <w:trHeight w:val="1550" w:hRule="atLeast"/>
      </w:trPr>
      <w:tc>
        <w:tcPr>
          <w:tcW w:w="2212"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13" name="Figura13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3 Copia 1 Copia 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4"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PLANO DE AÇÃO CORRETIVA: </w:t>
          </w:r>
          <w:r>
            <w:rPr>
              <w:rFonts w:cs="Arial"/>
              <w:b/>
              <w:caps/>
              <w:spacing w:val="40"/>
              <w:sz w:val="22"/>
            </w:rPr>
            <w:t>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09650" cy="230505"/>
                <wp:effectExtent l="0" t="0" r="0" b="0"/>
                <wp:docPr id="14" name="Figura14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4 Copia 1 Copia 1" descr=""/>
                        <pic:cNvPicPr>
                          <a:picLocks noChangeAspect="1" noChangeArrowheads="1"/>
                        </pic:cNvPicPr>
                      </pic:nvPicPr>
                      <pic:blipFill>
                        <a:blip r:embed="rId2"/>
                        <a:stretch>
                          <a:fillRect/>
                        </a:stretch>
                      </pic:blipFill>
                      <pic:spPr bwMode="auto">
                        <a:xfrm>
                          <a:off x="0" y="0"/>
                          <a:ext cx="1009650" cy="230505"/>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15" name="Figura29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29 Copia 1"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2"/>
      <w:gridCol w:w="5194"/>
      <w:gridCol w:w="1666"/>
    </w:tblGrid>
    <w:tr>
      <w:trPr>
        <w:trHeight w:val="1550" w:hRule="atLeast"/>
      </w:trPr>
      <w:tc>
        <w:tcPr>
          <w:tcW w:w="2212"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16" name="Figura3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31 Copia 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4"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DISPONIBILIZAÇÃO </w:t>
          </w:r>
          <w:r>
            <w:rPr>
              <w:rFonts w:cs="Arial"/>
              <w:b/>
              <w:caps/>
              <w:spacing w:val="40"/>
              <w:sz w:val="22"/>
            </w:rPr>
            <w:t>de software destinado à implantação do 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16000" cy="232410"/>
                <wp:effectExtent l="0" t="0" r="0" b="0"/>
                <wp:docPr id="17" name="Figura32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32 Copia 1" descr=""/>
                        <pic:cNvPicPr>
                          <a:picLocks noChangeAspect="1" noChangeArrowheads="1"/>
                        </pic:cNvPicPr>
                      </pic:nvPicPr>
                      <pic:blipFill>
                        <a:blip r:embed="rId2"/>
                        <a:stretch>
                          <a:fillRect/>
                        </a:stretch>
                      </pic:blipFill>
                      <pic:spPr bwMode="auto">
                        <a:xfrm>
                          <a:off x="0" y="0"/>
                          <a:ext cx="1016000" cy="232410"/>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18" name="Figura33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33 Copia 1"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2"/>
      <w:gridCol w:w="5194"/>
      <w:gridCol w:w="1666"/>
    </w:tblGrid>
    <w:tr>
      <w:trPr>
        <w:trHeight w:val="1550" w:hRule="atLeast"/>
      </w:trPr>
      <w:tc>
        <w:tcPr>
          <w:tcW w:w="2212"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25" name="Figura13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13 Copia 1 Copia 1 Copia 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4"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PLANO DE AÇÃO CORRETIVA: </w:t>
          </w:r>
          <w:r>
            <w:rPr>
              <w:rFonts w:cs="Arial"/>
              <w:b/>
              <w:caps/>
              <w:spacing w:val="40"/>
              <w:sz w:val="22"/>
            </w:rPr>
            <w:t>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09650" cy="230505"/>
                <wp:effectExtent l="0" t="0" r="0" b="0"/>
                <wp:docPr id="26" name="Figura14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14 Copia 1 Copia 1 Copia 1" descr=""/>
                        <pic:cNvPicPr>
                          <a:picLocks noChangeAspect="1" noChangeArrowheads="1"/>
                        </pic:cNvPicPr>
                      </pic:nvPicPr>
                      <pic:blipFill>
                        <a:blip r:embed="rId2"/>
                        <a:stretch>
                          <a:fillRect/>
                        </a:stretch>
                      </pic:blipFill>
                      <pic:spPr bwMode="auto">
                        <a:xfrm>
                          <a:off x="0" y="0"/>
                          <a:ext cx="1009650" cy="230505"/>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27" name="Figura29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29 Copia 1 Copia 1"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2"/>
      <w:gridCol w:w="5194"/>
      <w:gridCol w:w="1666"/>
    </w:tblGrid>
    <w:tr>
      <w:trPr>
        <w:trHeight w:val="1550" w:hRule="atLeast"/>
      </w:trPr>
      <w:tc>
        <w:tcPr>
          <w:tcW w:w="2212"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28" name="Figura3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a31 Copia 1 Copia 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4"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DISPONIBILIZAÇÃO </w:t>
          </w:r>
          <w:r>
            <w:rPr>
              <w:rFonts w:cs="Arial"/>
              <w:b/>
              <w:caps/>
              <w:spacing w:val="40"/>
              <w:sz w:val="22"/>
            </w:rPr>
            <w:t>de software destinado à implantação do 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16000" cy="232410"/>
                <wp:effectExtent l="0" t="0" r="0" b="0"/>
                <wp:docPr id="29" name="Figura32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32 Copia 1 Copia 1" descr=""/>
                        <pic:cNvPicPr>
                          <a:picLocks noChangeAspect="1" noChangeArrowheads="1"/>
                        </pic:cNvPicPr>
                      </pic:nvPicPr>
                      <pic:blipFill>
                        <a:blip r:embed="rId2"/>
                        <a:stretch>
                          <a:fillRect/>
                        </a:stretch>
                      </pic:blipFill>
                      <pic:spPr bwMode="auto">
                        <a:xfrm>
                          <a:off x="0" y="0"/>
                          <a:ext cx="1016000" cy="232410"/>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30" name="Figura33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a33 Copia 1 Copia 1"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2"/>
      <w:gridCol w:w="5194"/>
      <w:gridCol w:w="1666"/>
    </w:tblGrid>
    <w:tr>
      <w:trPr>
        <w:trHeight w:val="1550" w:hRule="atLeast"/>
      </w:trPr>
      <w:tc>
        <w:tcPr>
          <w:tcW w:w="2212"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33" name="Figura13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a13 Copia 1 Copia 1 Copia 1 Copia 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4"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PLANO DE AÇÃO CORRETIVA: </w:t>
          </w:r>
          <w:r>
            <w:rPr>
              <w:rFonts w:cs="Arial"/>
              <w:b/>
              <w:caps/>
              <w:spacing w:val="40"/>
              <w:sz w:val="22"/>
            </w:rPr>
            <w:t>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09650" cy="230505"/>
                <wp:effectExtent l="0" t="0" r="0" b="0"/>
                <wp:docPr id="34" name="Figura14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a14 Copia 1 Copia 1 Copia 1 Copia 1" descr=""/>
                        <pic:cNvPicPr>
                          <a:picLocks noChangeAspect="1" noChangeArrowheads="1"/>
                        </pic:cNvPicPr>
                      </pic:nvPicPr>
                      <pic:blipFill>
                        <a:blip r:embed="rId2"/>
                        <a:stretch>
                          <a:fillRect/>
                        </a:stretch>
                      </pic:blipFill>
                      <pic:spPr bwMode="auto">
                        <a:xfrm>
                          <a:off x="0" y="0"/>
                          <a:ext cx="1009650" cy="230505"/>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35" name="Figura29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a29 Copia 1 Copia 1 Copia 1"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2"/>
      <w:gridCol w:w="5194"/>
      <w:gridCol w:w="1666"/>
    </w:tblGrid>
    <w:tr>
      <w:trPr>
        <w:trHeight w:val="1550" w:hRule="atLeast"/>
      </w:trPr>
      <w:tc>
        <w:tcPr>
          <w:tcW w:w="2212"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36" name="Figura3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a31 Copia 1 Copia 1 Copia 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4"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DISPONIBILIZAÇÃO </w:t>
          </w:r>
          <w:r>
            <w:rPr>
              <w:rFonts w:cs="Arial"/>
              <w:b/>
              <w:caps/>
              <w:spacing w:val="40"/>
              <w:sz w:val="22"/>
            </w:rPr>
            <w:t>de software destinado à implantação do 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16000" cy="232410"/>
                <wp:effectExtent l="0" t="0" r="0" b="0"/>
                <wp:docPr id="37" name="Figura32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a32 Copia 1 Copia 1 Copia 1" descr=""/>
                        <pic:cNvPicPr>
                          <a:picLocks noChangeAspect="1" noChangeArrowheads="1"/>
                        </pic:cNvPicPr>
                      </pic:nvPicPr>
                      <pic:blipFill>
                        <a:blip r:embed="rId2"/>
                        <a:stretch>
                          <a:fillRect/>
                        </a:stretch>
                      </pic:blipFill>
                      <pic:spPr bwMode="auto">
                        <a:xfrm>
                          <a:off x="0" y="0"/>
                          <a:ext cx="1016000" cy="232410"/>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38" name="Figura33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a33 Copia 1 Copia 1 Copia 1"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lineRule="auto" w:line="240" w:before="0" w:after="120"/>
      <w:jc w:val="center"/>
      <w:rPr/>
    </w:pPr>
    <w:r>
      <w:rPr/>
    </w:r>
  </w:p>
  <w:tbl>
    <w:tblPr>
      <w:tblW w:w="907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12"/>
      <w:gridCol w:w="5194"/>
      <w:gridCol w:w="1666"/>
    </w:tblGrid>
    <w:tr>
      <w:trPr>
        <w:trHeight w:val="1550" w:hRule="atLeast"/>
      </w:trPr>
      <w:tc>
        <w:tcPr>
          <w:tcW w:w="2212"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40" w:after="120"/>
            <w:ind w:hanging="0"/>
            <w:jc w:val="center"/>
            <w:rPr>
              <w:rFonts w:cs="Arial"/>
              <w:sz w:val="18"/>
              <w:szCs w:val="18"/>
              <w:u w:val="single"/>
            </w:rPr>
          </w:pPr>
          <w:r>
            <w:rPr>
              <w:rFonts w:cs="Arial"/>
              <w:spacing w:val="20"/>
              <w:sz w:val="18"/>
              <w:szCs w:val="18"/>
              <w:u w:val="single"/>
            </w:rPr>
            <w:t>Contratante</w:t>
          </w:r>
          <w:r>
            <w:rPr>
              <w:rFonts w:cs="Arial"/>
              <w:sz w:val="18"/>
              <w:szCs w:val="18"/>
              <w:u w:val="single"/>
            </w:rPr>
            <w:t>:</w:t>
          </w:r>
        </w:p>
        <w:p>
          <w:pPr>
            <w:pStyle w:val="Header"/>
            <w:widowControl w:val="false"/>
            <w:spacing w:lineRule="auto" w:line="240" w:before="0" w:after="40"/>
            <w:ind w:hanging="0"/>
            <w:jc w:val="center"/>
            <w:rPr>
              <w:sz w:val="12"/>
              <w:szCs w:val="12"/>
            </w:rPr>
          </w:pPr>
          <w:r>
            <w:rPr/>
            <w:drawing>
              <wp:inline distT="0" distB="0" distL="0" distR="0">
                <wp:extent cx="1155065" cy="794385"/>
                <wp:effectExtent l="0" t="0" r="0" b="0"/>
                <wp:docPr id="44" name="Figura13 Copia 1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a13 Copia 1 Copia 1 Copia 1 Copia 1 Copia 1" descr=""/>
                        <pic:cNvPicPr>
                          <a:picLocks noChangeAspect="1" noChangeArrowheads="1"/>
                        </pic:cNvPicPr>
                      </pic:nvPicPr>
                      <pic:blipFill>
                        <a:blip r:embed="rId1"/>
                        <a:stretch>
                          <a:fillRect/>
                        </a:stretch>
                      </pic:blipFill>
                      <pic:spPr bwMode="auto">
                        <a:xfrm>
                          <a:off x="0" y="0"/>
                          <a:ext cx="1155065" cy="794385"/>
                        </a:xfrm>
                        <a:prstGeom prst="rect">
                          <a:avLst/>
                        </a:prstGeom>
                      </pic:spPr>
                    </pic:pic>
                  </a:graphicData>
                </a:graphic>
              </wp:inline>
            </w:drawing>
          </w:r>
        </w:p>
      </w:tc>
      <w:tc>
        <w:tcPr>
          <w:tcW w:w="5194" w:type="dxa"/>
          <w:tcBorders>
            <w:top w:val="single" w:sz="4" w:space="0" w:color="808080"/>
            <w:left w:val="single" w:sz="4" w:space="0" w:color="808080"/>
            <w:bottom w:val="single" w:sz="4" w:space="0" w:color="808080"/>
            <w:right w:val="single" w:sz="4" w:space="0" w:color="808080"/>
          </w:tcBorders>
          <w:vAlign w:val="center"/>
        </w:tcPr>
        <w:p>
          <w:pPr>
            <w:pStyle w:val="Footer"/>
            <w:widowControl w:val="false"/>
            <w:spacing w:lineRule="auto" w:line="240" w:before="40" w:after="40"/>
            <w:ind w:hanging="0"/>
            <w:jc w:val="center"/>
            <w:rPr>
              <w:rFonts w:cs="Arial"/>
              <w:b/>
              <w:spacing w:val="40"/>
              <w:sz w:val="22"/>
            </w:rPr>
          </w:pPr>
          <w:r>
            <w:rPr>
              <w:rFonts w:cs="Arial"/>
              <w:b/>
              <w:spacing w:val="40"/>
              <w:sz w:val="22"/>
            </w:rPr>
            <w:t xml:space="preserve">PLANO DE AÇÃO CORRETIVA: </w:t>
          </w:r>
          <w:r>
            <w:rPr>
              <w:rFonts w:cs="Arial"/>
              <w:b/>
              <w:caps/>
              <w:spacing w:val="40"/>
              <w:sz w:val="22"/>
            </w:rPr>
            <w:t>Observatório do Mercado</w:t>
          </w:r>
        </w:p>
        <w:p>
          <w:pPr>
            <w:pStyle w:val="Footer"/>
            <w:widowControl w:val="false"/>
            <w:spacing w:lineRule="auto" w:line="240" w:before="40" w:after="40"/>
            <w:ind w:hanging="0"/>
            <w:jc w:val="center"/>
            <w:rPr>
              <w:rFonts w:cs="Arial"/>
              <w:b/>
              <w:caps/>
              <w:spacing w:val="40"/>
              <w:sz w:val="22"/>
            </w:rPr>
          </w:pPr>
          <w:r>
            <w:rPr>
              <w:rFonts w:cs="Arial"/>
              <w:b/>
              <w:caps/>
              <w:spacing w:val="40"/>
              <w:sz w:val="22"/>
            </w:rPr>
            <w:t>Imobiliário (OMI)</w:t>
          </w:r>
        </w:p>
      </w:tc>
      <w:tc>
        <w:tcPr>
          <w:tcW w:w="1666" w:type="dxa"/>
          <w:tcBorders>
            <w:top w:val="single" w:sz="4" w:space="0" w:color="808080"/>
            <w:left w:val="single" w:sz="4" w:space="0" w:color="808080"/>
            <w:bottom w:val="single" w:sz="4" w:space="0" w:color="808080"/>
            <w:right w:val="single" w:sz="4" w:space="0" w:color="808080"/>
          </w:tcBorders>
        </w:tcPr>
        <w:p>
          <w:pPr>
            <w:pStyle w:val="Header"/>
            <w:widowControl w:val="false"/>
            <w:spacing w:lineRule="auto" w:line="240" w:before="120" w:after="0"/>
            <w:ind w:hanging="0"/>
            <w:jc w:val="center"/>
            <w:rPr>
              <w:rFonts w:cs="Arial"/>
              <w:sz w:val="18"/>
              <w:szCs w:val="18"/>
              <w:u w:val="single"/>
            </w:rPr>
          </w:pPr>
          <w:r>
            <w:rPr>
              <w:rFonts w:cs="Arial"/>
              <w:spacing w:val="20"/>
              <w:sz w:val="18"/>
              <w:szCs w:val="18"/>
              <w:u w:val="single"/>
            </w:rPr>
            <w:t>Executora</w:t>
          </w:r>
          <w:r>
            <w:rPr>
              <w:rFonts w:cs="Arial"/>
              <w:sz w:val="18"/>
              <w:szCs w:val="18"/>
              <w:u w:val="single"/>
            </w:rPr>
            <w:t>:</w:t>
          </w:r>
        </w:p>
        <w:p>
          <w:pPr>
            <w:pStyle w:val="Header"/>
            <w:widowControl w:val="false"/>
            <w:spacing w:lineRule="auto" w:line="240"/>
            <w:jc w:val="left"/>
            <w:rPr>
              <w:rFonts w:ascii="Arial Narrow" w:hAnsi="Arial Narrow" w:cs="Arial"/>
              <w:sz w:val="14"/>
              <w:szCs w:val="14"/>
              <w:u w:val="single"/>
            </w:rPr>
          </w:pPr>
          <w:r>
            <w:rPr>
              <w:rFonts w:cs="Arial" w:ascii="Arial Narrow" w:hAnsi="Arial Narrow"/>
              <w:sz w:val="14"/>
              <w:szCs w:val="14"/>
              <w:u w:val="single"/>
            </w:rPr>
          </w:r>
        </w:p>
        <w:p>
          <w:pPr>
            <w:pStyle w:val="Header"/>
            <w:widowControl w:val="false"/>
            <w:spacing w:lineRule="auto" w:line="240" w:before="40" w:after="0"/>
            <w:ind w:hanging="0" w:left="-57"/>
            <w:jc w:val="center"/>
            <w:rPr/>
          </w:pPr>
          <w:r>
            <w:rPr/>
            <w:drawing>
              <wp:inline distT="0" distB="0" distL="0" distR="0">
                <wp:extent cx="1009650" cy="230505"/>
                <wp:effectExtent l="0" t="0" r="0" b="0"/>
                <wp:docPr id="45" name="Figura14 Copia 1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a14 Copia 1 Copia 1 Copia 1 Copia 1 Copia 1" descr=""/>
                        <pic:cNvPicPr>
                          <a:picLocks noChangeAspect="1" noChangeArrowheads="1"/>
                        </pic:cNvPicPr>
                      </pic:nvPicPr>
                      <pic:blipFill>
                        <a:blip r:embed="rId2"/>
                        <a:stretch>
                          <a:fillRect/>
                        </a:stretch>
                      </pic:blipFill>
                      <pic:spPr bwMode="auto">
                        <a:xfrm>
                          <a:off x="0" y="0"/>
                          <a:ext cx="1009650" cy="230505"/>
                        </a:xfrm>
                        <a:prstGeom prst="rect">
                          <a:avLst/>
                        </a:prstGeom>
                      </pic:spPr>
                    </pic:pic>
                  </a:graphicData>
                </a:graphic>
              </wp:inline>
            </w:drawing>
          </w:r>
        </w:p>
        <w:p>
          <w:pPr>
            <w:pStyle w:val="Normal"/>
            <w:widowControl w:val="false"/>
            <w:ind w:hanging="0"/>
            <w:jc w:val="center"/>
            <w:rPr/>
          </w:pPr>
          <w:r>
            <w:rPr/>
            <w:drawing>
              <wp:inline distT="0" distB="0" distL="0" distR="0">
                <wp:extent cx="907415" cy="235585"/>
                <wp:effectExtent l="0" t="0" r="0" b="0"/>
                <wp:docPr id="46" name="Figura29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a29 Copia 1 Copia 1 Copia 1 Copia 1" descr=""/>
                        <pic:cNvPicPr>
                          <a:picLocks noChangeAspect="1" noChangeArrowheads="1"/>
                        </pic:cNvPicPr>
                      </pic:nvPicPr>
                      <pic:blipFill>
                        <a:blip r:embed="rId3"/>
                        <a:stretch>
                          <a:fillRect/>
                        </a:stretch>
                      </pic:blipFill>
                      <pic:spPr bwMode="auto">
                        <a:xfrm>
                          <a:off x="0" y="0"/>
                          <a:ext cx="907415" cy="235585"/>
                        </a:xfrm>
                        <a:prstGeom prst="rect">
                          <a:avLst/>
                        </a:prstGeom>
                      </pic:spPr>
                    </pic:pic>
                  </a:graphicData>
                </a:graphic>
              </wp:inline>
            </w:drawing>
          </w:r>
        </w:p>
      </w:tc>
    </w:tr>
  </w:tbl>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3"/>
      <w:pStyle w:val="Heading2"/>
      <w:numFmt w:val="decimal"/>
      <w:lvlText w:val="%1%2"/>
      <w:lvlJc w:val="left"/>
      <w:pPr>
        <w:tabs>
          <w:tab w:val="num" w:pos="0"/>
        </w:tabs>
        <w:ind w:left="576" w:hanging="576"/>
      </w:pPr>
      <w:rPr>
        <w:smallCaps w:val="false"/>
        <w:caps w:val="false"/>
        <w:dstrike w:val="false"/>
        <w:strike w:val="false"/>
        <w:vertAlign w:val="baseline"/>
        <w:position w:val="0"/>
        <w:sz w:val="24"/>
        <w:sz w:val="24"/>
        <w:spacing w:val="0"/>
        <w:i w:val="false"/>
        <w:u w:val="none"/>
        <w:b w:val="false"/>
        <w:kern w:val="0"/>
        <w:effect w:val="none"/>
        <w:iCs w:val="false"/>
        <w:bCs w:val="false"/>
        <w:em w:val="none"/>
        <w:vanish w:val="false"/>
        <w:color w:val="000000"/>
        <w14:shadow w14:blurRad="0" w14:dist="0" w14:dir="0" w14:sx="0" w14:sy="0" w14:kx="0" w14:ky="0" w14:algn="none">
          <w14:srgbClr w14:val="000000"/>
        </w14:shadow>
        <w14:textOutline w14:w="0" w14:cap="rnd" w14:cmpd="sng" w14:algn="ctr">
          <w14:noFill/>
          <w14:prstDash w14:val="solid"/>
          <w14:bevel/>
        </w14:textOutline>
      </w:rPr>
    </w:lvl>
    <w:lvl w:ilvl="2">
      <w:start w:val="1"/>
      <w:pStyle w:val="Heading3"/>
      <w:numFmt w:val="decimal"/>
      <w:lvlText w:val="%1%2.%3"/>
      <w:lvlJc w:val="left"/>
      <w:pPr>
        <w:tabs>
          <w:tab w:val="num" w:pos="0"/>
        </w:tabs>
        <w:ind w:left="720" w:hanging="720"/>
      </w:pPr>
      <w:rPr/>
    </w:lvl>
    <w:lvl w:ilvl="3">
      <w:start w:val="1"/>
      <w:pStyle w:val="Heading4"/>
      <w:numFmt w:val="decimal"/>
      <w:lvlText w:val="%1%2.%3.%4"/>
      <w:lvlJc w:val="left"/>
      <w:pPr>
        <w:tabs>
          <w:tab w:val="num" w:pos="0"/>
        </w:tabs>
        <w:ind w:left="864" w:hanging="864"/>
      </w:pPr>
      <w:rPr/>
    </w:lvl>
    <w:lvl w:ilvl="4">
      <w:start w:val="1"/>
      <w:pStyle w:val="Heading5"/>
      <w:numFmt w:val="decimal"/>
      <w:lvlText w:val="%1%2.%3.%4.%5"/>
      <w:lvlJc w:val="left"/>
      <w:pPr>
        <w:tabs>
          <w:tab w:val="num" w:pos="0"/>
        </w:tabs>
        <w:ind w:left="1008" w:hanging="1008"/>
      </w:pPr>
      <w:rPr/>
    </w:lvl>
    <w:lvl w:ilvl="5">
      <w:start w:val="1"/>
      <w:pStyle w:val="Heading6"/>
      <w:numFmt w:val="decimal"/>
      <w:lvlText w:val="%1%2.%3.%4.%5.%6"/>
      <w:lvlJc w:val="left"/>
      <w:pPr>
        <w:tabs>
          <w:tab w:val="num" w:pos="0"/>
        </w:tabs>
        <w:ind w:left="1152" w:hanging="1152"/>
      </w:pPr>
      <w:rPr/>
    </w:lvl>
    <w:lvl w:ilvl="6">
      <w:start w:val="1"/>
      <w:pStyle w:val="Heading7"/>
      <w:numFmt w:val="decimal"/>
      <w:lvlText w:val="%1%2.%3.%4.%5.%6.%7"/>
      <w:lvlJc w:val="left"/>
      <w:pPr>
        <w:tabs>
          <w:tab w:val="num" w:pos="0"/>
        </w:tabs>
        <w:ind w:left="1296" w:hanging="1296"/>
      </w:pPr>
      <w:rPr/>
    </w:lvl>
    <w:lvl w:ilvl="7">
      <w:start w:val="1"/>
      <w:pStyle w:val="Heading8"/>
      <w:numFmt w:val="decimal"/>
      <w:lvlText w:val="%1%2.%3.%4.%5.%6.%7.%8"/>
      <w:lvlJc w:val="left"/>
      <w:pPr>
        <w:tabs>
          <w:tab w:val="num" w:pos="0"/>
        </w:tabs>
        <w:ind w:left="1440" w:hanging="1440"/>
      </w:pPr>
      <w:rPr/>
    </w:lvl>
    <w:lvl w:ilvl="8">
      <w:start w:val="1"/>
      <w:pStyle w:val="Heading9"/>
      <w:numFmt w:val="decimal"/>
      <w:lvlText w:val="%1%2.%3.%4.%5.%6.%7.%8.%9"/>
      <w:lvlJc w:val="left"/>
      <w:pPr>
        <w:tabs>
          <w:tab w:val="num" w:pos="0"/>
        </w:tabs>
        <w:ind w:left="1584" w:hanging="1584"/>
      </w:pPr>
      <w:rPr/>
    </w:lvl>
  </w:abstractNum>
  <w:abstractNum w:abstractNumId="2">
    <w:lvl w:ilvl="0">
      <w:start w:val="2"/>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num w:numId="1">
    <w:abstractNumId w:val="1"/>
  </w:num>
  <w:num w:numId="2">
    <w:abstractNumId w:val="2"/>
  </w:num>
</w:numbering>
</file>

<file path=word/settings.xml><?xml version="1.0" encoding="utf-8"?>
<w:settings xmlns:w="http://schemas.openxmlformats.org/wordprocessingml/2006/main">
  <w:zoom w:percent="75"/>
  <w:defaultTabStop w:val="708"/>
  <w:autoHyphenation w:val="true"/>
  <w:hyphenationZone w:val="425"/>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B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styleId="Normal" w:default="1">
    <w:name w:val="Normal"/>
    <w:qFormat/>
    <w:rsid w:val="00f049fb"/>
    <w:pPr>
      <w:widowControl/>
      <w:suppressAutoHyphens w:val="true"/>
      <w:bidi w:val="0"/>
      <w:spacing w:lineRule="auto" w:line="360" w:before="0" w:after="0"/>
      <w:ind w:firstLine="567"/>
      <w:jc w:val="both"/>
    </w:pPr>
    <w:rPr>
      <w:rFonts w:ascii="Arial" w:hAnsi="Arial" w:eastAsia="Times New Roman" w:cs="Times New Roman"/>
      <w:color w:val="auto"/>
      <w:kern w:val="0"/>
      <w:sz w:val="24"/>
      <w:szCs w:val="24"/>
      <w:lang w:val="pt-BR" w:eastAsia="pt-BR" w:bidi="ar-SA"/>
    </w:rPr>
  </w:style>
  <w:style w:type="paragraph" w:styleId="Heading1">
    <w:name w:val="Heading 1"/>
    <w:basedOn w:val="ListNumber"/>
    <w:next w:val="Normal"/>
    <w:link w:val="Ttulo1Char"/>
    <w:uiPriority w:val="9"/>
    <w:qFormat/>
    <w:rsid w:val="00c04bb2"/>
    <w:pPr>
      <w:keepNext w:val="true"/>
      <w:spacing w:before="240" w:after="240"/>
      <w:contextualSpacing w:val="false"/>
      <w:outlineLvl w:val="0"/>
    </w:pPr>
    <w:rPr>
      <w:b/>
      <w:caps/>
      <w:kern w:val="2"/>
      <w:szCs w:val="20"/>
    </w:rPr>
  </w:style>
  <w:style w:type="paragraph" w:styleId="Heading2">
    <w:name w:val="Heading 2"/>
    <w:basedOn w:val="Normal"/>
    <w:next w:val="Normal"/>
    <w:link w:val="Ttulo2Char"/>
    <w:uiPriority w:val="9"/>
    <w:qFormat/>
    <w:rsid w:val="00c04bb2"/>
    <w:pPr>
      <w:numPr>
        <w:ilvl w:val="1"/>
        <w:numId w:val="1"/>
      </w:numPr>
      <w:outlineLvl w:val="1"/>
    </w:pPr>
    <w:rPr>
      <w:rFonts w:cs="Arial"/>
      <w:bCs/>
      <w:iCs/>
      <w:caps/>
      <w:color w:val="000000"/>
      <w:szCs w:val="20"/>
    </w:rPr>
  </w:style>
  <w:style w:type="paragraph" w:styleId="Heading3">
    <w:name w:val="Heading 3"/>
    <w:basedOn w:val="Normal"/>
    <w:next w:val="Normal"/>
    <w:link w:val="Ttulo3Char"/>
    <w:uiPriority w:val="9"/>
    <w:qFormat/>
    <w:rsid w:val="00c04bb2"/>
    <w:pPr>
      <w:numPr>
        <w:ilvl w:val="2"/>
        <w:numId w:val="1"/>
      </w:numPr>
      <w:ind w:firstLine="567" w:left="1287"/>
      <w:outlineLvl w:val="2"/>
    </w:pPr>
    <w:rPr>
      <w:rFonts w:cs="Arial"/>
    </w:rPr>
  </w:style>
  <w:style w:type="paragraph" w:styleId="Heading4">
    <w:name w:val="Heading 4"/>
    <w:basedOn w:val="Normal"/>
    <w:next w:val="Normal"/>
    <w:link w:val="Ttulo4Char"/>
    <w:uiPriority w:val="9"/>
    <w:qFormat/>
    <w:rsid w:val="00c04bb2"/>
    <w:pPr>
      <w:keepNext w:val="true"/>
      <w:numPr>
        <w:ilvl w:val="3"/>
        <w:numId w:val="1"/>
      </w:numPr>
      <w:spacing w:before="240" w:after="120"/>
      <w:outlineLvl w:val="3"/>
    </w:pPr>
    <w:rPr>
      <w:rFonts w:cs="Arial"/>
      <w:b/>
      <w:bCs/>
      <w:iCs/>
      <w:szCs w:val="20"/>
      <w:lang w:val="pt-PT"/>
    </w:rPr>
  </w:style>
  <w:style w:type="paragraph" w:styleId="Heading5">
    <w:name w:val="Heading 5"/>
    <w:basedOn w:val="Normal"/>
    <w:next w:val="Normal"/>
    <w:link w:val="Ttulo5Char"/>
    <w:uiPriority w:val="9"/>
    <w:unhideWhenUsed/>
    <w:qFormat/>
    <w:rsid w:val="00c04bb2"/>
    <w:pPr>
      <w:keepNext w:val="true"/>
      <w:keepLines/>
      <w:numPr>
        <w:ilvl w:val="4"/>
        <w:numId w:val="1"/>
      </w:numPr>
      <w:ind w:hanging="1009" w:left="1860"/>
      <w:outlineLvl w:val="4"/>
    </w:pPr>
    <w:rPr>
      <w:rFonts w:eastAsia="" w:cs="" w:cstheme="majorBidi" w:eastAsiaTheme="majorEastAsia"/>
      <w:szCs w:val="22"/>
    </w:rPr>
  </w:style>
  <w:style w:type="paragraph" w:styleId="Heading6">
    <w:name w:val="Heading 6"/>
    <w:basedOn w:val="Normal"/>
    <w:next w:val="Normal"/>
    <w:link w:val="Ttulo6Char"/>
    <w:uiPriority w:val="9"/>
    <w:unhideWhenUsed/>
    <w:qFormat/>
    <w:rsid w:val="00c04bb2"/>
    <w:pPr>
      <w:keepNext w:val="true"/>
      <w:keepLines/>
      <w:numPr>
        <w:ilvl w:val="5"/>
        <w:numId w:val="1"/>
      </w:numPr>
      <w:spacing w:before="40" w:after="0"/>
      <w:outlineLvl w:val="5"/>
    </w:pPr>
    <w:rPr>
      <w:rFonts w:ascii="Cambria" w:hAnsi="Cambria" w:eastAsia="" w:cs="" w:asciiTheme="majorHAnsi" w:cstheme="majorBidi" w:eastAsiaTheme="majorEastAsia" w:hAnsiTheme="majorHAnsi"/>
      <w:color w:themeColor="accent1" w:themeShade="7f" w:val="243F60"/>
      <w:szCs w:val="22"/>
    </w:rPr>
  </w:style>
  <w:style w:type="paragraph" w:styleId="Heading7">
    <w:name w:val="Heading 7"/>
    <w:basedOn w:val="Normal"/>
    <w:next w:val="Normal"/>
    <w:link w:val="Ttulo7Char"/>
    <w:uiPriority w:val="9"/>
    <w:unhideWhenUsed/>
    <w:qFormat/>
    <w:rsid w:val="00c04bb2"/>
    <w:pPr>
      <w:keepNext w:val="true"/>
      <w:keepLines/>
      <w:numPr>
        <w:ilvl w:val="6"/>
        <w:numId w:val="1"/>
      </w:numPr>
      <w:spacing w:before="40" w:after="0"/>
      <w:outlineLvl w:val="6"/>
    </w:pPr>
    <w:rPr>
      <w:rFonts w:ascii="Cambria" w:hAnsi="Cambria" w:eastAsia="" w:cs="" w:asciiTheme="majorHAnsi" w:cstheme="majorBidi" w:eastAsiaTheme="majorEastAsia" w:hAnsiTheme="majorHAnsi"/>
      <w:i/>
      <w:iCs/>
      <w:color w:themeColor="accent1" w:themeShade="7f" w:val="243F60"/>
      <w:szCs w:val="22"/>
    </w:rPr>
  </w:style>
  <w:style w:type="paragraph" w:styleId="Heading8">
    <w:name w:val="Heading 8"/>
    <w:basedOn w:val="Normal"/>
    <w:next w:val="Normal"/>
    <w:link w:val="Ttulo8Char"/>
    <w:uiPriority w:val="9"/>
    <w:unhideWhenUsed/>
    <w:qFormat/>
    <w:rsid w:val="00c04bb2"/>
    <w:pPr>
      <w:keepNext w:val="true"/>
      <w:keepLines/>
      <w:numPr>
        <w:ilvl w:val="7"/>
        <w:numId w:val="1"/>
      </w:numPr>
      <w:spacing w:before="40" w:after="0"/>
      <w:outlineLvl w:val="7"/>
    </w:pPr>
    <w:rPr>
      <w:rFonts w:ascii="Cambria" w:hAnsi="Cambria" w:eastAsia="" w:cs="" w:asciiTheme="majorHAnsi" w:cstheme="majorBidi" w:eastAsiaTheme="majorEastAsia" w:hAnsiTheme="majorHAnsi"/>
      <w:color w:themeColor="text1" w:themeTint="d8" w:val="272727"/>
      <w:sz w:val="21"/>
      <w:szCs w:val="21"/>
    </w:rPr>
  </w:style>
  <w:style w:type="paragraph" w:styleId="Heading9">
    <w:name w:val="Heading 9"/>
    <w:basedOn w:val="Normal"/>
    <w:next w:val="Normal"/>
    <w:link w:val="Ttulo9Char"/>
    <w:uiPriority w:val="9"/>
    <w:semiHidden/>
    <w:unhideWhenUsed/>
    <w:qFormat/>
    <w:rsid w:val="00c04bb2"/>
    <w:pPr>
      <w:keepNext w:val="true"/>
      <w:keepLines/>
      <w:numPr>
        <w:ilvl w:val="8"/>
        <w:numId w:val="1"/>
      </w:numPr>
      <w:spacing w:before="40" w:after="0"/>
      <w:outlineLvl w:val="8"/>
    </w:pPr>
    <w:rPr>
      <w:rFonts w:ascii="Cambria" w:hAnsi="Cambria" w:eastAsia="" w:cs="" w:asciiTheme="majorHAnsi" w:cstheme="majorBidi" w:eastAsiaTheme="majorEastAsia" w:hAnsiTheme="majorHAnsi"/>
      <w:i/>
      <w:iCs/>
      <w:color w:themeColor="text1" w:themeTint="d8" w:val="272727"/>
      <w:sz w:val="21"/>
      <w:szCs w:val="21"/>
    </w:rPr>
  </w:style>
  <w:style w:type="character" w:styleId="DefaultParagraphFont" w:default="1">
    <w:name w:val="Default Paragraph Font"/>
    <w:uiPriority w:val="1"/>
    <w:unhideWhenUsed/>
    <w:qFormat/>
    <w:rPr/>
  </w:style>
  <w:style w:type="character" w:styleId="Corpodetexto2Char" w:customStyle="1">
    <w:name w:val="Corpo de texto 2 Char"/>
    <w:basedOn w:val="DefaultParagraphFont"/>
    <w:link w:val="BodyText2"/>
    <w:qFormat/>
    <w:rsid w:val="00865515"/>
    <w:rPr>
      <w:rFonts w:ascii="Arial" w:hAnsi="Arial" w:eastAsia="Times New Roman" w:cs="Times New Roman"/>
      <w:sz w:val="24"/>
      <w:szCs w:val="20"/>
      <w:lang w:val="x-none" w:eastAsia="x-none"/>
    </w:rPr>
  </w:style>
  <w:style w:type="character" w:styleId="RecuodecorpodetextoChar" w:customStyle="1">
    <w:name w:val="Recuo de corpo de texto Char"/>
    <w:basedOn w:val="DefaultParagraphFont"/>
    <w:qFormat/>
    <w:rsid w:val="00340e6c"/>
    <w:rPr>
      <w:rFonts w:ascii="Arial" w:hAnsi="Arial" w:eastAsia="Times New Roman" w:cs="Times New Roman"/>
      <w:sz w:val="24"/>
      <w:szCs w:val="20"/>
      <w:lang w:eastAsia="pt-BR"/>
    </w:rPr>
  </w:style>
  <w:style w:type="character" w:styleId="Corpodetexto3Char" w:customStyle="1">
    <w:name w:val="Corpo de texto 3 Char"/>
    <w:basedOn w:val="DefaultParagraphFont"/>
    <w:link w:val="BodyText3"/>
    <w:qFormat/>
    <w:rsid w:val="00887ed8"/>
    <w:rPr>
      <w:rFonts w:ascii="Times New Roman" w:hAnsi="Times New Roman" w:eastAsia="Times New Roman" w:cs="Times New Roman"/>
      <w:sz w:val="16"/>
      <w:szCs w:val="16"/>
      <w:lang w:eastAsia="pt-BR"/>
    </w:rPr>
  </w:style>
  <w:style w:type="character" w:styleId="CabealhoChar" w:customStyle="1">
    <w:name w:val="Cabeçalho Char"/>
    <w:basedOn w:val="DefaultParagraphFont"/>
    <w:uiPriority w:val="99"/>
    <w:qFormat/>
    <w:rsid w:val="00993449"/>
    <w:rPr>
      <w:rFonts w:ascii="Times New Roman" w:hAnsi="Times New Roman" w:eastAsia="Times New Roman" w:cs="Times New Roman"/>
      <w:sz w:val="24"/>
      <w:szCs w:val="24"/>
      <w:lang w:eastAsia="pt-BR"/>
    </w:rPr>
  </w:style>
  <w:style w:type="character" w:styleId="RodapChar" w:customStyle="1">
    <w:name w:val="Rodapé Char"/>
    <w:basedOn w:val="DefaultParagraphFont"/>
    <w:uiPriority w:val="99"/>
    <w:qFormat/>
    <w:rsid w:val="00993449"/>
    <w:rPr>
      <w:rFonts w:ascii="Times New Roman" w:hAnsi="Times New Roman" w:eastAsia="Times New Roman" w:cs="Times New Roman"/>
      <w:sz w:val="24"/>
      <w:szCs w:val="24"/>
      <w:lang w:eastAsia="pt-BR"/>
    </w:rPr>
  </w:style>
  <w:style w:type="character" w:styleId="Hyperlink1" w:customStyle="1">
    <w:name w:val="Hyperlink1"/>
    <w:qFormat/>
    <w:rsid w:val="00444d53"/>
    <w:rPr>
      <w:color w:val="000080"/>
      <w:u w:val="single"/>
    </w:rPr>
  </w:style>
  <w:style w:type="character" w:styleId="TextodebaloChar" w:customStyle="1">
    <w:name w:val="Texto de balão Char"/>
    <w:basedOn w:val="DefaultParagraphFont"/>
    <w:link w:val="BalloonText"/>
    <w:uiPriority w:val="99"/>
    <w:semiHidden/>
    <w:qFormat/>
    <w:rsid w:val="004b63c2"/>
    <w:rPr>
      <w:rFonts w:ascii="Segoe UI" w:hAnsi="Segoe UI" w:eastAsia="Times New Roman" w:cs="Segoe UI"/>
      <w:sz w:val="18"/>
      <w:szCs w:val="18"/>
      <w:lang w:eastAsia="pt-BR"/>
    </w:rPr>
  </w:style>
  <w:style w:type="character" w:styleId="Ttulo1Char" w:customStyle="1">
    <w:name w:val="Título 1 Char"/>
    <w:basedOn w:val="DefaultParagraphFont"/>
    <w:uiPriority w:val="9"/>
    <w:qFormat/>
    <w:rsid w:val="00c04bb2"/>
    <w:rPr>
      <w:rFonts w:ascii="Arial" w:hAnsi="Arial" w:eastAsia="Times New Roman" w:cs="Times New Roman"/>
      <w:b/>
      <w:caps/>
      <w:kern w:val="2"/>
      <w:sz w:val="24"/>
      <w:szCs w:val="20"/>
      <w:lang w:eastAsia="pt-BR"/>
    </w:rPr>
  </w:style>
  <w:style w:type="character" w:styleId="Ttulo2Char" w:customStyle="1">
    <w:name w:val="Título 2 Char"/>
    <w:basedOn w:val="DefaultParagraphFont"/>
    <w:uiPriority w:val="9"/>
    <w:qFormat/>
    <w:rsid w:val="00c04bb2"/>
    <w:rPr>
      <w:rFonts w:ascii="Arial" w:hAnsi="Arial" w:eastAsia="Times New Roman" w:cs="Arial"/>
      <w:bCs/>
      <w:iCs/>
      <w:caps/>
      <w:color w:val="000000"/>
      <w:sz w:val="24"/>
      <w:szCs w:val="20"/>
      <w:lang w:eastAsia="pt-BR"/>
    </w:rPr>
  </w:style>
  <w:style w:type="character" w:styleId="Ttulo3Char" w:customStyle="1">
    <w:name w:val="Título 3 Char"/>
    <w:basedOn w:val="DefaultParagraphFont"/>
    <w:uiPriority w:val="9"/>
    <w:qFormat/>
    <w:rsid w:val="00c04bb2"/>
    <w:rPr>
      <w:rFonts w:ascii="Arial" w:hAnsi="Arial" w:eastAsia="Times New Roman" w:cs="Arial"/>
      <w:sz w:val="24"/>
      <w:szCs w:val="24"/>
      <w:lang w:eastAsia="pt-BR"/>
    </w:rPr>
  </w:style>
  <w:style w:type="character" w:styleId="Ttulo4Char" w:customStyle="1">
    <w:name w:val="Título 4 Char"/>
    <w:basedOn w:val="DefaultParagraphFont"/>
    <w:uiPriority w:val="9"/>
    <w:qFormat/>
    <w:rsid w:val="00c04bb2"/>
    <w:rPr>
      <w:rFonts w:ascii="Arial" w:hAnsi="Arial" w:eastAsia="Times New Roman" w:cs="Arial"/>
      <w:b/>
      <w:bCs/>
      <w:iCs/>
      <w:sz w:val="24"/>
      <w:szCs w:val="20"/>
      <w:lang w:val="pt-PT" w:eastAsia="pt-BR"/>
    </w:rPr>
  </w:style>
  <w:style w:type="character" w:styleId="Ttulo5Char" w:customStyle="1">
    <w:name w:val="Título 5 Char"/>
    <w:basedOn w:val="DefaultParagraphFont"/>
    <w:uiPriority w:val="9"/>
    <w:qFormat/>
    <w:rsid w:val="00c04bb2"/>
    <w:rPr>
      <w:rFonts w:ascii="Arial" w:hAnsi="Arial" w:eastAsia="" w:cs="" w:cstheme="majorBidi" w:eastAsiaTheme="majorEastAsia"/>
      <w:sz w:val="24"/>
      <w:lang w:eastAsia="pt-BR"/>
    </w:rPr>
  </w:style>
  <w:style w:type="character" w:styleId="Ttulo6Char" w:customStyle="1">
    <w:name w:val="Título 6 Char"/>
    <w:basedOn w:val="DefaultParagraphFont"/>
    <w:uiPriority w:val="9"/>
    <w:semiHidden/>
    <w:qFormat/>
    <w:rsid w:val="00c04bb2"/>
    <w:rPr>
      <w:rFonts w:ascii="Cambria" w:hAnsi="Cambria" w:eastAsia="" w:cs="" w:asciiTheme="majorHAnsi" w:cstheme="majorBidi" w:eastAsiaTheme="majorEastAsia" w:hAnsiTheme="majorHAnsi"/>
      <w:color w:themeColor="accent1" w:themeShade="7f" w:val="243F60"/>
      <w:sz w:val="24"/>
      <w:lang w:eastAsia="pt-BR"/>
    </w:rPr>
  </w:style>
  <w:style w:type="character" w:styleId="Ttulo7Char" w:customStyle="1">
    <w:name w:val="Título 7 Char"/>
    <w:basedOn w:val="DefaultParagraphFont"/>
    <w:uiPriority w:val="9"/>
    <w:semiHidden/>
    <w:qFormat/>
    <w:rsid w:val="00c04bb2"/>
    <w:rPr>
      <w:rFonts w:ascii="Cambria" w:hAnsi="Cambria" w:eastAsia="" w:cs="" w:asciiTheme="majorHAnsi" w:cstheme="majorBidi" w:eastAsiaTheme="majorEastAsia" w:hAnsiTheme="majorHAnsi"/>
      <w:i/>
      <w:iCs/>
      <w:color w:themeColor="accent1" w:themeShade="7f" w:val="243F60"/>
      <w:sz w:val="24"/>
      <w:lang w:eastAsia="pt-BR"/>
    </w:rPr>
  </w:style>
  <w:style w:type="character" w:styleId="Ttulo8Char" w:customStyle="1">
    <w:name w:val="Título 8 Char"/>
    <w:basedOn w:val="DefaultParagraphFont"/>
    <w:uiPriority w:val="9"/>
    <w:semiHidden/>
    <w:qFormat/>
    <w:rsid w:val="00c04bb2"/>
    <w:rPr>
      <w:rFonts w:ascii="Cambria" w:hAnsi="Cambria" w:eastAsia="" w:cs="" w:asciiTheme="majorHAnsi" w:cstheme="majorBidi" w:eastAsiaTheme="majorEastAsia" w:hAnsiTheme="majorHAnsi"/>
      <w:color w:themeColor="text1" w:themeTint="d8" w:val="272727"/>
      <w:sz w:val="21"/>
      <w:szCs w:val="21"/>
      <w:lang w:eastAsia="pt-BR"/>
    </w:rPr>
  </w:style>
  <w:style w:type="character" w:styleId="Ttulo9Char" w:customStyle="1">
    <w:name w:val="Título 9 Char"/>
    <w:basedOn w:val="DefaultParagraphFont"/>
    <w:uiPriority w:val="9"/>
    <w:semiHidden/>
    <w:qFormat/>
    <w:rsid w:val="00c04bb2"/>
    <w:rPr>
      <w:rFonts w:ascii="Cambria" w:hAnsi="Cambria" w:eastAsia="" w:cs="" w:asciiTheme="majorHAnsi" w:cstheme="majorBidi" w:eastAsiaTheme="majorEastAsia" w:hAnsiTheme="majorHAnsi"/>
      <w:i/>
      <w:iCs/>
      <w:color w:themeColor="text1" w:themeTint="d8" w:val="272727"/>
      <w:sz w:val="21"/>
      <w:szCs w:val="21"/>
      <w:lang w:eastAsia="pt-BR"/>
    </w:rPr>
  </w:style>
  <w:style w:type="character" w:styleId="Emphasis">
    <w:name w:val="Emphasis"/>
    <w:basedOn w:val="DefaultParagraphFont"/>
    <w:uiPriority w:val="20"/>
    <w:qFormat/>
    <w:rsid w:val="00444d53"/>
    <w:rPr>
      <w:i/>
      <w:iCs/>
    </w:rPr>
  </w:style>
  <w:style w:type="character" w:styleId="Recuodecorpodetexto2Char" w:customStyle="1">
    <w:name w:val="Recuo de corpo de texto 2 Char"/>
    <w:basedOn w:val="DefaultParagraphFont"/>
    <w:link w:val="BodyTextIndent2"/>
    <w:uiPriority w:val="99"/>
    <w:semiHidden/>
    <w:qFormat/>
    <w:rsid w:val="00444d53"/>
    <w:rPr>
      <w:rFonts w:ascii="Arial" w:hAnsi="Arial" w:eastAsia="" w:eastAsiaTheme="minorEastAsia"/>
      <w:sz w:val="24"/>
      <w:lang w:eastAsia="pt-BR"/>
    </w:rPr>
  </w:style>
  <w:style w:type="character" w:styleId="CorpodetextoChar" w:customStyle="1">
    <w:name w:val="Corpo de texto Char"/>
    <w:basedOn w:val="DefaultParagraphFont"/>
    <w:uiPriority w:val="99"/>
    <w:semiHidden/>
    <w:qFormat/>
    <w:rsid w:val="00444d53"/>
    <w:rPr>
      <w:rFonts w:ascii="Arial" w:hAnsi="Arial" w:eastAsia="" w:eastAsiaTheme="minorEastAsia"/>
      <w:sz w:val="24"/>
      <w:lang w:eastAsia="pt-BR"/>
    </w:rPr>
  </w:style>
  <w:style w:type="character" w:styleId="TextodenotaderodapChar" w:customStyle="1">
    <w:name w:val="Texto de nota de rodapé Char"/>
    <w:basedOn w:val="DefaultParagraphFont"/>
    <w:semiHidden/>
    <w:qFormat/>
    <w:rsid w:val="00444d53"/>
    <w:rPr>
      <w:rFonts w:ascii="Gothic720 BT" w:hAnsi="Gothic720 BT" w:eastAsia="Times New Roman" w:cs="Times New Roman"/>
      <w:sz w:val="20"/>
      <w:szCs w:val="20"/>
    </w:rPr>
  </w:style>
  <w:style w:type="character" w:styleId="Strong">
    <w:name w:val="Strong"/>
    <w:basedOn w:val="DefaultParagraphFont"/>
    <w:uiPriority w:val="22"/>
    <w:qFormat/>
    <w:rsid w:val="00444d53"/>
    <w:rPr>
      <w:b/>
      <w:bCs/>
    </w:rPr>
  </w:style>
  <w:style w:type="character" w:styleId="TtuloChar" w:customStyle="1">
    <w:name w:val="Título Char"/>
    <w:basedOn w:val="DefaultParagraphFont"/>
    <w:link w:val="Ttulo1"/>
    <w:uiPriority w:val="10"/>
    <w:qFormat/>
    <w:rsid w:val="00444d53"/>
    <w:rPr>
      <w:rFonts w:ascii="Cambria" w:hAnsi="Cambria" w:eastAsia="" w:cs="" w:asciiTheme="majorHAnsi" w:cstheme="majorBidi" w:eastAsiaTheme="majorEastAsia" w:hAnsiTheme="majorHAnsi"/>
      <w:spacing w:val="-10"/>
      <w:kern w:val="2"/>
      <w:sz w:val="56"/>
      <w:szCs w:val="56"/>
      <w:lang w:eastAsia="pt-BR"/>
    </w:rPr>
  </w:style>
  <w:style w:type="character" w:styleId="SubtleEmphasis">
    <w:name w:val="Subtle Emphasis"/>
    <w:basedOn w:val="DefaultParagraphFont"/>
    <w:uiPriority w:val="19"/>
    <w:qFormat/>
    <w:rsid w:val="00444d53"/>
    <w:rPr>
      <w:i/>
      <w:iCs/>
      <w:color w:themeColor="text1" w:themeTint="bf" w:val="404040"/>
    </w:rPr>
  </w:style>
  <w:style w:type="character" w:styleId="Annotationreference">
    <w:name w:val="annotation reference"/>
    <w:basedOn w:val="DefaultParagraphFont"/>
    <w:uiPriority w:val="99"/>
    <w:semiHidden/>
    <w:unhideWhenUsed/>
    <w:qFormat/>
    <w:rsid w:val="00da1ffd"/>
    <w:rPr>
      <w:sz w:val="16"/>
      <w:szCs w:val="16"/>
    </w:rPr>
  </w:style>
  <w:style w:type="character" w:styleId="TextodecomentrioChar" w:customStyle="1">
    <w:name w:val="Texto de comentário Char"/>
    <w:basedOn w:val="DefaultParagraphFont"/>
    <w:link w:val="Annotationtext"/>
    <w:uiPriority w:val="99"/>
    <w:qFormat/>
    <w:rsid w:val="00da1ffd"/>
    <w:rPr>
      <w:rFonts w:ascii="Times New Roman" w:hAnsi="Times New Roman" w:eastAsia="Times New Roman" w:cs="Times New Roman"/>
      <w:sz w:val="20"/>
      <w:szCs w:val="20"/>
      <w:lang w:eastAsia="pt-BR"/>
    </w:rPr>
  </w:style>
  <w:style w:type="character" w:styleId="AssuntodocomentrioChar" w:customStyle="1">
    <w:name w:val="Assunto do comentário Char"/>
    <w:basedOn w:val="TextodecomentrioChar"/>
    <w:link w:val="Annotationsubject"/>
    <w:uiPriority w:val="99"/>
    <w:semiHidden/>
    <w:qFormat/>
    <w:rsid w:val="00da1ffd"/>
    <w:rPr>
      <w:rFonts w:ascii="Times New Roman" w:hAnsi="Times New Roman" w:eastAsia="Times New Roman" w:cs="Times New Roman"/>
      <w:b/>
      <w:bCs/>
      <w:sz w:val="20"/>
      <w:szCs w:val="20"/>
      <w:lang w:eastAsia="pt-BR"/>
    </w:rPr>
  </w:style>
  <w:style w:type="character" w:styleId="MenoPendente1" w:customStyle="1">
    <w:name w:val="Menção Pendente1"/>
    <w:basedOn w:val="DefaultParagraphFont"/>
    <w:uiPriority w:val="99"/>
    <w:semiHidden/>
    <w:unhideWhenUsed/>
    <w:qFormat/>
    <w:rsid w:val="004c14a6"/>
    <w:rPr>
      <w:color w:val="605E5C"/>
      <w:shd w:fill="E1DFDD" w:val="clear"/>
    </w:rPr>
  </w:style>
  <w:style w:type="character" w:styleId="Marcadores" w:customStyle="1">
    <w:name w:val="Marcadores"/>
    <w:qFormat/>
    <w:rPr>
      <w:rFonts w:ascii="OpenSymbol" w:hAnsi="OpenSymbol" w:eastAsia="OpenSymbol" w:cs="OpenSymbol"/>
    </w:rPr>
  </w:style>
  <w:style w:type="character" w:styleId="Vnculodendice" w:customStyle="1">
    <w:name w:val="Vínculo de índice"/>
    <w:qFormat/>
    <w:rPr/>
  </w:style>
  <w:style w:type="character" w:styleId="Smbolosdenumerao" w:customStyle="1">
    <w:name w:val="Símbolos de numeração"/>
    <w:qFormat/>
    <w:rPr/>
  </w:style>
  <w:style w:type="character" w:styleId="Hyperlink2" w:customStyle="1">
    <w:name w:val="Hyperlink2"/>
    <w:basedOn w:val="DefaultParagraphFont"/>
    <w:unhideWhenUsed/>
    <w:qFormat/>
    <w:rsid w:val="004d0923"/>
    <w:rPr>
      <w:color w:themeColor="hyperlink" w:val="0000FF"/>
      <w:u w:val="single"/>
    </w:rPr>
  </w:style>
  <w:style w:type="character" w:styleId="UnresolvedMention">
    <w:name w:val="Unresolved Mention"/>
    <w:basedOn w:val="DefaultParagraphFont"/>
    <w:uiPriority w:val="99"/>
    <w:semiHidden/>
    <w:unhideWhenUsed/>
    <w:qFormat/>
    <w:rsid w:val="004d0923"/>
    <w:rPr>
      <w:color w:val="605E5C"/>
      <w:shd w:fill="E1DFDD" w:val="clear"/>
    </w:rPr>
  </w:style>
  <w:style w:type="character" w:styleId="Xcontentpasted0" w:customStyle="1">
    <w:name w:val="x_contentpasted0"/>
    <w:basedOn w:val="DefaultParagraphFont"/>
    <w:qFormat/>
    <w:rsid w:val="004d0923"/>
    <w:rPr/>
  </w:style>
  <w:style w:type="character" w:styleId="PlaceholderText">
    <w:name w:val="Placeholder Text"/>
    <w:basedOn w:val="DefaultParagraphFont"/>
    <w:uiPriority w:val="99"/>
    <w:semiHidden/>
    <w:qFormat/>
    <w:rsid w:val="004d0923"/>
    <w:rPr>
      <w:color w:val="808080"/>
    </w:rPr>
  </w:style>
  <w:style w:type="character" w:styleId="Hyperlink" w:customStyle="1">
    <w:name w:val="Hyperlink"/>
    <w:basedOn w:val="DefaultParagraphFont"/>
    <w:uiPriority w:val="99"/>
    <w:semiHidden/>
    <w:unhideWhenUsed/>
    <w:rsid w:val="000128bf"/>
    <w:rPr>
      <w:color w:val="1155CC"/>
      <w:u w:val="single"/>
    </w:rPr>
  </w:style>
  <w:style w:type="character" w:styleId="SubttuloChar" w:customStyle="1">
    <w:name w:val="Subtítulo Char"/>
    <w:basedOn w:val="DefaultParagraphFont"/>
    <w:uiPriority w:val="11"/>
    <w:qFormat/>
    <w:rsid w:val="005149c2"/>
    <w:rPr>
      <w:rFonts w:ascii="Arial" w:hAnsi="Arial" w:eastAsia="" w:cs="" w:cstheme="majorBidi" w:eastAsiaTheme="majorEastAsia"/>
      <w:color w:themeColor="text1" w:themeTint="a6" w:val="595959"/>
      <w:spacing w:val="15"/>
      <w:sz w:val="28"/>
      <w:szCs w:val="28"/>
      <w:lang w:eastAsia="pt-BR"/>
    </w:rPr>
  </w:style>
  <w:style w:type="character" w:styleId="CitaoChar" w:customStyle="1">
    <w:name w:val="Citação Char"/>
    <w:basedOn w:val="DefaultParagraphFont"/>
    <w:link w:val="Quote"/>
    <w:uiPriority w:val="29"/>
    <w:qFormat/>
    <w:rsid w:val="005149c2"/>
    <w:rPr>
      <w:rFonts w:ascii="Arial" w:hAnsi="Arial" w:eastAsia="Times New Roman" w:cs="Times New Roman"/>
      <w:i/>
      <w:iCs/>
      <w:color w:themeColor="text1" w:themeTint="bf" w:val="404040"/>
      <w:sz w:val="24"/>
      <w:szCs w:val="24"/>
      <w:lang w:eastAsia="pt-BR"/>
    </w:rPr>
  </w:style>
  <w:style w:type="character" w:styleId="IntenseEmphasis">
    <w:name w:val="Intense Emphasis"/>
    <w:basedOn w:val="DefaultParagraphFont"/>
    <w:uiPriority w:val="21"/>
    <w:qFormat/>
    <w:rsid w:val="005149c2"/>
    <w:rPr>
      <w:i/>
      <w:iCs/>
      <w:color w:themeColor="accent1" w:themeShade="bf" w:val="365F91"/>
    </w:rPr>
  </w:style>
  <w:style w:type="character" w:styleId="CitaoIntensaChar" w:customStyle="1">
    <w:name w:val="Citação Intensa Char"/>
    <w:basedOn w:val="DefaultParagraphFont"/>
    <w:link w:val="IntenseQuote"/>
    <w:uiPriority w:val="30"/>
    <w:qFormat/>
    <w:rsid w:val="005149c2"/>
    <w:rPr>
      <w:rFonts w:ascii="Arial" w:hAnsi="Arial" w:eastAsia="Times New Roman" w:cs="Times New Roman"/>
      <w:i/>
      <w:iCs/>
      <w:color w:themeColor="accent1" w:themeShade="bf" w:val="365F91"/>
      <w:sz w:val="24"/>
      <w:szCs w:val="24"/>
      <w:lang w:eastAsia="pt-BR"/>
    </w:rPr>
  </w:style>
  <w:style w:type="character" w:styleId="IntenseReference">
    <w:name w:val="Intense Reference"/>
    <w:basedOn w:val="DefaultParagraphFont"/>
    <w:uiPriority w:val="32"/>
    <w:qFormat/>
    <w:rsid w:val="005149c2"/>
    <w:rPr>
      <w:b/>
      <w:bCs/>
      <w:smallCaps/>
      <w:color w:themeColor="accent1" w:themeShade="bf" w:val="365F91"/>
      <w:spacing w:val="5"/>
    </w:rPr>
  </w:style>
  <w:style w:type="character" w:styleId="FollowedHyperlink" w:customStyle="1">
    <w:name w:val="FollowedHyperlink"/>
    <w:basedOn w:val="DefaultParagraphFont"/>
    <w:uiPriority w:val="99"/>
    <w:semiHidden/>
    <w:unhideWhenUsed/>
    <w:rsid w:val="000128bf"/>
    <w:rPr>
      <w:color w:val="1155CC"/>
      <w:u w:val="single"/>
    </w:rPr>
  </w:style>
  <w:style w:type="paragraph" w:styleId="Ttulo" w:customStyle="1">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CorpodetextoChar"/>
    <w:unhideWhenUsed/>
    <w:rsid w:val="00444d53"/>
    <w:pPr>
      <w:spacing w:before="0" w:after="120"/>
      <w:ind w:firstLine="1701"/>
    </w:pPr>
    <w:rPr>
      <w:rFonts w:eastAsia="" w:cs="" w:cstheme="minorBidi" w:eastAsiaTheme="minorEastAsia"/>
      <w:szCs w:val="22"/>
    </w:rPr>
  </w:style>
  <w:style w:type="paragraph" w:styleId="List">
    <w:name w:val="List"/>
    <w:basedOn w:val="Textbody"/>
    <w:rsid w:val="00444d53"/>
    <w:pPr/>
    <w:rPr/>
  </w:style>
  <w:style w:type="paragraph" w:styleId="Caption">
    <w:name w:val="Caption"/>
    <w:basedOn w:val="Normal"/>
    <w:qFormat/>
    <w:pPr>
      <w:suppressLineNumbers/>
      <w:spacing w:before="120" w:after="120"/>
    </w:pPr>
    <w:rPr>
      <w:rFonts w:cs="Lucida Sans"/>
      <w:i/>
      <w:iCs/>
      <w:sz w:val="24"/>
      <w:szCs w:val="24"/>
    </w:rPr>
  </w:style>
  <w:style w:type="paragraph" w:styleId="Ndice" w:customStyle="1">
    <w:name w:val="Índice"/>
    <w:basedOn w:val="Standard"/>
    <w:qFormat/>
    <w:pPr>
      <w:suppressLineNumbers/>
    </w:pPr>
    <w:rPr>
      <w:rFonts w:cs="Arial"/>
    </w:rPr>
  </w:style>
  <w:style w:type="paragraph" w:styleId="ListNumber">
    <w:name w:val="List Number"/>
    <w:basedOn w:val="Normal"/>
    <w:uiPriority w:val="99"/>
    <w:semiHidden/>
    <w:unhideWhenUsed/>
    <w:qFormat/>
    <w:rsid w:val="00c04bb2"/>
    <w:pPr>
      <w:spacing w:before="0" w:after="0"/>
      <w:ind w:hanging="432" w:left="432"/>
      <w:contextualSpacing/>
    </w:pPr>
    <w:rPr/>
  </w:style>
  <w:style w:type="paragraph" w:styleId="Title">
    <w:name w:val="Title"/>
    <w:basedOn w:val="Normal"/>
    <w:next w:val="BodyText"/>
    <w:uiPriority w:val="10"/>
    <w:qFormat/>
    <w:rsid w:val="00444d53"/>
    <w:pPr>
      <w:spacing w:before="0" w:after="0"/>
      <w:ind w:firstLine="1701"/>
      <w:contextualSpacing/>
    </w:pPr>
    <w:rPr>
      <w:rFonts w:ascii="Cambria" w:hAnsi="Cambria" w:eastAsia="" w:cs="" w:asciiTheme="majorHAnsi" w:cstheme="majorBidi" w:eastAsiaTheme="majorEastAsia" w:hAnsiTheme="majorHAnsi"/>
      <w:spacing w:val="-10"/>
      <w:kern w:val="2"/>
      <w:sz w:val="56"/>
      <w:szCs w:val="56"/>
    </w:rPr>
  </w:style>
  <w:style w:type="paragraph" w:styleId="Caption1">
    <w:name w:val="caption1"/>
    <w:basedOn w:val="Standard"/>
    <w:qFormat/>
    <w:rsid w:val="00444d53"/>
    <w:pPr>
      <w:widowControl/>
      <w:suppressLineNumbers/>
      <w:spacing w:before="120" w:after="120"/>
    </w:pPr>
    <w:rPr>
      <w:rFonts w:eastAsia="Noto Sans CJK SC" w:cs="Lohit Devanagari"/>
      <w:i/>
      <w:iCs/>
    </w:rPr>
  </w:style>
  <w:style w:type="paragraph" w:styleId="Ttulo1" w:customStyle="1">
    <w:name w:val="Título1"/>
    <w:basedOn w:val="Standard"/>
    <w:next w:val="Textbody"/>
    <w:link w:val="TtuloChar"/>
    <w:qFormat/>
    <w:rsid w:val="00444d53"/>
    <w:pPr>
      <w:keepNext w:val="true"/>
      <w:widowControl/>
      <w:spacing w:before="240" w:after="120"/>
    </w:pPr>
    <w:rPr>
      <w:rFonts w:ascii="Liberation Sans" w:hAnsi="Liberation Sans" w:eastAsia="Noto Sans CJK SC" w:cs="Lohit Devanagari"/>
      <w:sz w:val="28"/>
      <w:szCs w:val="28"/>
    </w:rPr>
  </w:style>
  <w:style w:type="paragraph" w:styleId="ListParagraph">
    <w:name w:val="List Paragraph"/>
    <w:basedOn w:val="Normal"/>
    <w:uiPriority w:val="34"/>
    <w:qFormat/>
    <w:rsid w:val="00e97e90"/>
    <w:pPr>
      <w:spacing w:before="0" w:after="0"/>
      <w:ind w:left="720"/>
      <w:contextualSpacing/>
    </w:pPr>
    <w:rPr/>
  </w:style>
  <w:style w:type="paragraph" w:styleId="BodyText2">
    <w:name w:val="Body Text 2"/>
    <w:basedOn w:val="Normal"/>
    <w:link w:val="Corpodetexto2Char"/>
    <w:qFormat/>
    <w:rsid w:val="00865515"/>
    <w:pPr>
      <w:spacing w:lineRule="auto" w:line="480" w:before="0" w:after="120"/>
    </w:pPr>
    <w:rPr>
      <w:szCs w:val="20"/>
      <w:lang w:val="x-none" w:eastAsia="x-none"/>
    </w:rPr>
  </w:style>
  <w:style w:type="paragraph" w:styleId="BodyTextIndent">
    <w:name w:val="Body Text Indent"/>
    <w:basedOn w:val="Normal"/>
    <w:link w:val="RecuodecorpodetextoChar"/>
    <w:rsid w:val="00340e6c"/>
    <w:pPr>
      <w:spacing w:before="0" w:after="120"/>
      <w:ind w:left="283"/>
    </w:pPr>
    <w:rPr>
      <w:szCs w:val="20"/>
    </w:rPr>
  </w:style>
  <w:style w:type="paragraph" w:styleId="Contedodetabela" w:customStyle="1">
    <w:name w:val="Conteúdo de tabela"/>
    <w:basedOn w:val="Normal"/>
    <w:qFormat/>
    <w:rsid w:val="00340e6c"/>
    <w:pPr>
      <w:suppressLineNumbers/>
    </w:pPr>
    <w:rPr>
      <w:lang w:eastAsia="zh-CN"/>
    </w:rPr>
  </w:style>
  <w:style w:type="paragraph" w:styleId="Default" w:customStyle="1">
    <w:name w:val="Default"/>
    <w:qFormat/>
    <w:rsid w:val="00340e6c"/>
    <w:pPr>
      <w:widowControl/>
      <w:suppressAutoHyphens w:val="true"/>
      <w:bidi w:val="0"/>
      <w:spacing w:before="0" w:after="0"/>
      <w:jc w:val="left"/>
    </w:pPr>
    <w:rPr>
      <w:rFonts w:ascii="Verdana" w:hAnsi="Verdana" w:eastAsia="Times New Roman" w:cs="Verdana"/>
      <w:color w:val="000000"/>
      <w:kern w:val="0"/>
      <w:sz w:val="24"/>
      <w:szCs w:val="24"/>
      <w:lang w:val="pt-BR" w:eastAsia="pt-BR" w:bidi="ar-SA"/>
    </w:rPr>
  </w:style>
  <w:style w:type="paragraph" w:styleId="BodyText3">
    <w:name w:val="Body Text 3"/>
    <w:basedOn w:val="Normal"/>
    <w:link w:val="Corpodetexto3Char"/>
    <w:unhideWhenUsed/>
    <w:qFormat/>
    <w:rsid w:val="00887ed8"/>
    <w:pPr>
      <w:spacing w:before="0" w:after="120"/>
    </w:pPr>
    <w:rPr>
      <w:sz w:val="16"/>
      <w:szCs w:val="16"/>
    </w:rPr>
  </w:style>
  <w:style w:type="paragraph" w:styleId="PargrafodaLista1" w:customStyle="1">
    <w:name w:val="Parágrafo da Lista1"/>
    <w:basedOn w:val="Normal"/>
    <w:qFormat/>
    <w:rsid w:val="0077765c"/>
    <w:pPr>
      <w:widowControl w:val="false"/>
      <w:spacing w:lineRule="atLeast" w:line="100"/>
      <w:ind w:firstLine="1701" w:left="720"/>
    </w:pPr>
    <w:rPr>
      <w:rFonts w:ascii="Liberation Serif" w:hAnsi="Liberation Serif" w:eastAsia="DejaVu Sans" w:cs="FreeSans"/>
      <w:kern w:val="2"/>
      <w:lang w:eastAsia="hi-IN" w:bidi="hi-IN"/>
    </w:rPr>
  </w:style>
  <w:style w:type="paragraph" w:styleId="NormalWeb">
    <w:name w:val="Normal (Web)"/>
    <w:basedOn w:val="Normal"/>
    <w:uiPriority w:val="99"/>
    <w:unhideWhenUsed/>
    <w:qFormat/>
    <w:rsid w:val="00e938ab"/>
    <w:pPr>
      <w:spacing w:beforeAutospacing="1" w:afterAutospacing="1"/>
    </w:pPr>
    <w:rPr/>
  </w:style>
  <w:style w:type="paragraph" w:styleId="CabealhoeRodap" w:customStyle="1">
    <w:name w:val="Cabeçalho e Rodapé"/>
    <w:basedOn w:val="Normal"/>
    <w:qFormat/>
    <w:pPr/>
    <w:rPr/>
  </w:style>
  <w:style w:type="paragraph" w:styleId="Cabealhoerodap1" w:customStyle="1">
    <w:name w:val="Cabeçalho e rodapé1"/>
    <w:basedOn w:val="Normal"/>
    <w:qFormat/>
    <w:pPr/>
    <w:rPr/>
  </w:style>
  <w:style w:type="paragraph" w:styleId="Cabealhoerodap2" w:customStyle="1">
    <w:name w:val="Cabeçalho e rodapé2"/>
    <w:basedOn w:val="Normal"/>
    <w:qFormat/>
    <w:pPr/>
    <w:rPr/>
  </w:style>
  <w:style w:type="paragraph" w:styleId="Cabealhoerodap3" w:customStyle="1">
    <w:name w:val="Cabeçalho e rodapé3"/>
    <w:basedOn w:val="Normal"/>
    <w:qFormat/>
    <w:pPr/>
    <w:rPr/>
  </w:style>
  <w:style w:type="paragraph" w:styleId="Cabealhoerodap4" w:customStyle="1">
    <w:name w:val="Cabeçalho e rodapé4"/>
    <w:basedOn w:val="Normal"/>
    <w:qFormat/>
    <w:pPr/>
    <w:rPr/>
  </w:style>
  <w:style w:type="paragraph" w:styleId="Cabealhoerodap5" w:customStyle="1">
    <w:name w:val="Cabeçalho e rodapé5"/>
    <w:basedOn w:val="Normal"/>
    <w:qFormat/>
    <w:pPr/>
    <w:rPr/>
  </w:style>
  <w:style w:type="paragraph" w:styleId="Cabealhoerodap6" w:customStyle="1">
    <w:name w:val="Cabeçalho e rodapé6"/>
    <w:basedOn w:val="Normal"/>
    <w:qFormat/>
    <w:pPr/>
    <w:rPr/>
  </w:style>
  <w:style w:type="paragraph" w:styleId="Cabealhoerodap7" w:customStyle="1">
    <w:name w:val="Cabeçalho e rodapé7"/>
    <w:basedOn w:val="Normal"/>
    <w:qFormat/>
    <w:pPr/>
    <w:rPr/>
  </w:style>
  <w:style w:type="paragraph" w:styleId="Cabealhoerodap8" w:customStyle="1">
    <w:name w:val="Cabeçalho e rodapé8"/>
    <w:basedOn w:val="Normal"/>
    <w:qFormat/>
    <w:pPr/>
    <w:rPr/>
  </w:style>
  <w:style w:type="paragraph" w:styleId="Cabealhoerodap9" w:customStyle="1">
    <w:name w:val="Cabeçalho e rodapé9"/>
    <w:basedOn w:val="Normal"/>
    <w:qFormat/>
    <w:pPr/>
    <w:rPr/>
  </w:style>
  <w:style w:type="paragraph" w:styleId="Cabealhoerodap10" w:customStyle="1">
    <w:name w:val="Cabeçalho e rodapé10"/>
    <w:basedOn w:val="Normal"/>
    <w:qFormat/>
    <w:pPr/>
    <w:rPr/>
  </w:style>
  <w:style w:type="paragraph" w:styleId="Cabealhoerodap11" w:customStyle="1">
    <w:name w:val="Cabeçalho e rodapé11"/>
    <w:basedOn w:val="Normal"/>
    <w:qFormat/>
    <w:pPr/>
    <w:rPr/>
  </w:style>
  <w:style w:type="paragraph" w:styleId="Cabealhoerodap12" w:customStyle="1">
    <w:name w:val="Cabeçalho e rodapé12"/>
    <w:basedOn w:val="Normal"/>
    <w:qFormat/>
    <w:pPr/>
    <w:rPr/>
  </w:style>
  <w:style w:type="paragraph" w:styleId="Cabealhoerodap13" w:customStyle="1">
    <w:name w:val="Cabeçalho e rodapé13"/>
    <w:basedOn w:val="Normal"/>
    <w:qFormat/>
    <w:pPr/>
    <w:rPr/>
  </w:style>
  <w:style w:type="paragraph" w:styleId="Cabealhoerodap14" w:customStyle="1">
    <w:name w:val="Cabeçalho e rodapé14"/>
    <w:basedOn w:val="Normal"/>
    <w:qFormat/>
    <w:pPr/>
    <w:rPr/>
  </w:style>
  <w:style w:type="paragraph" w:styleId="Cabealhoerodap15" w:customStyle="1">
    <w:name w:val="Cabeçalho e rodapé15"/>
    <w:basedOn w:val="Normal"/>
    <w:qFormat/>
    <w:pPr/>
    <w:rPr/>
  </w:style>
  <w:style w:type="paragraph" w:styleId="Cabealhoerodap16" w:customStyle="1">
    <w:name w:val="Cabeçalho e rodapé16"/>
    <w:basedOn w:val="Normal"/>
    <w:qFormat/>
    <w:pPr/>
    <w:rPr/>
  </w:style>
  <w:style w:type="paragraph" w:styleId="Cabealhoerodap17" w:customStyle="1">
    <w:name w:val="Cabeçalho e rodapé17"/>
    <w:basedOn w:val="Normal"/>
    <w:qFormat/>
    <w:pPr/>
    <w:rPr/>
  </w:style>
  <w:style w:type="paragraph" w:styleId="Cabealhoerodap18" w:customStyle="1">
    <w:name w:val="Cabeçalho e rodapé18"/>
    <w:basedOn w:val="Normal"/>
    <w:qFormat/>
    <w:pPr/>
    <w:rPr/>
  </w:style>
  <w:style w:type="paragraph" w:styleId="Cabealhoerodap19" w:customStyle="1">
    <w:name w:val="Cabeçalho e rodapé19"/>
    <w:basedOn w:val="Normal"/>
    <w:qFormat/>
    <w:pPr/>
    <w:rPr/>
  </w:style>
  <w:style w:type="paragraph" w:styleId="Cabealhoerodap20" w:customStyle="1">
    <w:name w:val="Cabeçalho e rodapé20"/>
    <w:basedOn w:val="Normal"/>
    <w:qFormat/>
    <w:pPr/>
    <w:rPr/>
  </w:style>
  <w:style w:type="paragraph" w:styleId="Cabealhoerodap21" w:customStyle="1">
    <w:name w:val="Cabeçalho e rodapé21"/>
    <w:basedOn w:val="Normal"/>
    <w:qFormat/>
    <w:pPr/>
    <w:rPr/>
  </w:style>
  <w:style w:type="paragraph" w:styleId="Cabealhoerodap22" w:customStyle="1">
    <w:name w:val="Cabeçalho e rodapé22"/>
    <w:basedOn w:val="Normal"/>
    <w:qFormat/>
    <w:pPr/>
    <w:rPr/>
  </w:style>
  <w:style w:type="paragraph" w:styleId="Cabealhoerodap23" w:customStyle="1">
    <w:name w:val="Cabeçalho e rodapé23"/>
    <w:basedOn w:val="Normal"/>
    <w:qFormat/>
    <w:pPr/>
    <w:rPr/>
  </w:style>
  <w:style w:type="paragraph" w:styleId="Cabealhoerodap24" w:customStyle="1">
    <w:name w:val="Cabeçalho e rodapé24"/>
    <w:basedOn w:val="Normal"/>
    <w:qFormat/>
    <w:pPr/>
    <w:rPr/>
  </w:style>
  <w:style w:type="paragraph" w:styleId="Header">
    <w:name w:val="Header"/>
    <w:basedOn w:val="Normal"/>
    <w:link w:val="CabealhoChar"/>
    <w:uiPriority w:val="99"/>
    <w:unhideWhenUsed/>
    <w:rsid w:val="00993449"/>
    <w:pPr>
      <w:tabs>
        <w:tab w:val="clear" w:pos="708"/>
        <w:tab w:val="center" w:pos="4252" w:leader="none"/>
        <w:tab w:val="right" w:pos="8504" w:leader="none"/>
      </w:tabs>
    </w:pPr>
    <w:rPr/>
  </w:style>
  <w:style w:type="paragraph" w:styleId="Footer">
    <w:name w:val="Footer"/>
    <w:basedOn w:val="Normal"/>
    <w:link w:val="RodapChar"/>
    <w:uiPriority w:val="99"/>
    <w:unhideWhenUsed/>
    <w:rsid w:val="00993449"/>
    <w:pPr>
      <w:tabs>
        <w:tab w:val="clear" w:pos="708"/>
        <w:tab w:val="center" w:pos="4252" w:leader="none"/>
        <w:tab w:val="right" w:pos="8504" w:leader="none"/>
      </w:tabs>
    </w:pPr>
    <w:rPr/>
  </w:style>
  <w:style w:type="paragraph" w:styleId="Contedodatabela" w:customStyle="1">
    <w:name w:val="Conteúdo da tabela"/>
    <w:basedOn w:val="Normal"/>
    <w:qFormat/>
    <w:pPr>
      <w:widowControl w:val="false"/>
      <w:suppressLineNumbers/>
    </w:pPr>
    <w:rPr/>
  </w:style>
  <w:style w:type="paragraph" w:styleId="BalloonText">
    <w:name w:val="Balloon Text"/>
    <w:basedOn w:val="Normal"/>
    <w:link w:val="TextodebaloChar"/>
    <w:uiPriority w:val="99"/>
    <w:semiHidden/>
    <w:unhideWhenUsed/>
    <w:qFormat/>
    <w:rsid w:val="004b63c2"/>
    <w:pPr/>
    <w:rPr>
      <w:rFonts w:ascii="Segoe UI" w:hAnsi="Segoe UI" w:cs="Segoe UI"/>
      <w:sz w:val="18"/>
      <w:szCs w:val="18"/>
    </w:rPr>
  </w:style>
  <w:style w:type="paragraph" w:styleId="BodyTextIndent2">
    <w:name w:val="Body Text Indent 2"/>
    <w:basedOn w:val="Normal"/>
    <w:link w:val="Recuodecorpodetexto2Char"/>
    <w:uiPriority w:val="99"/>
    <w:semiHidden/>
    <w:unhideWhenUsed/>
    <w:qFormat/>
    <w:rsid w:val="00444d53"/>
    <w:pPr>
      <w:spacing w:lineRule="auto" w:line="480" w:before="0" w:after="120"/>
      <w:ind w:firstLine="1701" w:left="283"/>
    </w:pPr>
    <w:rPr>
      <w:rFonts w:eastAsia="" w:cs="" w:cstheme="minorBidi" w:eastAsiaTheme="minorEastAsia"/>
      <w:szCs w:val="22"/>
    </w:rPr>
  </w:style>
  <w:style w:type="paragraph" w:styleId="PargrafodaLista2" w:customStyle="1">
    <w:name w:val="Parágrafo da Lista2"/>
    <w:basedOn w:val="Normal"/>
    <w:qFormat/>
    <w:rsid w:val="00444d53"/>
    <w:pPr>
      <w:spacing w:before="0" w:after="0"/>
      <w:ind w:firstLine="1701" w:left="720"/>
      <w:contextualSpacing/>
    </w:pPr>
    <w:rPr>
      <w:lang w:eastAsia="zh-CN"/>
    </w:rPr>
  </w:style>
  <w:style w:type="paragraph" w:styleId="Textopadro" w:customStyle="1">
    <w:name w:val="Texto padrão"/>
    <w:basedOn w:val="Normal"/>
    <w:uiPriority w:val="99"/>
    <w:qFormat/>
    <w:rsid w:val="00444d53"/>
    <w:pPr>
      <w:widowControl w:val="false"/>
      <w:ind w:firstLine="1701"/>
    </w:pPr>
    <w:rPr>
      <w:rFonts w:cs="Arial"/>
    </w:rPr>
  </w:style>
  <w:style w:type="paragraph" w:styleId="Standard" w:customStyle="1">
    <w:name w:val="Standard"/>
    <w:qFormat/>
    <w:rsid w:val="00444d53"/>
    <w:pPr>
      <w:widowControl w:val="false"/>
      <w:suppressAutoHyphens w:val="true"/>
      <w:bidi w:val="0"/>
      <w:spacing w:before="0" w:after="0"/>
      <w:jc w:val="left"/>
      <w:textAlignment w:val="baseline"/>
    </w:pPr>
    <w:rPr>
      <w:rFonts w:ascii="Liberation Serif" w:hAnsi="Liberation Serif" w:eastAsia="DejaVu Sans" w:cs="FreeSans"/>
      <w:color w:val="auto"/>
      <w:kern w:val="2"/>
      <w:sz w:val="24"/>
      <w:szCs w:val="24"/>
      <w:lang w:val="pt-BR" w:eastAsia="zh-CN" w:bidi="hi-IN"/>
    </w:rPr>
  </w:style>
  <w:style w:type="paragraph" w:styleId="FootnoteText">
    <w:name w:val="Footnote Text"/>
    <w:basedOn w:val="Normal"/>
    <w:link w:val="TextodenotaderodapChar"/>
    <w:semiHidden/>
    <w:rsid w:val="00444d53"/>
    <w:pPr>
      <w:spacing w:before="240" w:after="120"/>
      <w:ind w:firstLine="1134"/>
    </w:pPr>
    <w:rPr>
      <w:rFonts w:ascii="Gothic720 BT" w:hAnsi="Gothic720 BT"/>
      <w:sz w:val="20"/>
      <w:szCs w:val="20"/>
      <w:lang w:eastAsia="en-US"/>
    </w:rPr>
  </w:style>
  <w:style w:type="paragraph" w:styleId="Bulleted-1stNvel" w:customStyle="1">
    <w:name w:val="Bulleted - 1st Nível"/>
    <w:qFormat/>
    <w:rsid w:val="00444d53"/>
    <w:pPr>
      <w:widowControl/>
      <w:suppressAutoHyphens w:val="true"/>
      <w:bidi w:val="0"/>
      <w:spacing w:before="60" w:after="120"/>
      <w:jc w:val="both"/>
    </w:pPr>
    <w:rPr>
      <w:rFonts w:ascii="Gothic720 BT" w:hAnsi="Gothic720 BT" w:eastAsia="Times New Roman" w:cs="Times New Roman"/>
      <w:color w:val="auto"/>
      <w:kern w:val="0"/>
      <w:sz w:val="24"/>
      <w:szCs w:val="24"/>
      <w:lang w:val="pt-BR" w:eastAsia="en-US" w:bidi="ar-SA"/>
    </w:rPr>
  </w:style>
  <w:style w:type="paragraph" w:styleId="TextoPadroInvit" w:customStyle="1">
    <w:name w:val="Texto Padrão Invit"/>
    <w:basedOn w:val="BodyTextIndent2"/>
    <w:qFormat/>
    <w:rsid w:val="00444d53"/>
    <w:pPr>
      <w:widowControl w:val="false"/>
      <w:spacing w:lineRule="auto" w:line="360" w:before="120" w:after="0"/>
      <w:ind w:firstLine="851" w:left="0"/>
      <w:textAlignment w:val="baseline"/>
    </w:pPr>
    <w:rPr>
      <w:rFonts w:ascii="Gothic720 BT" w:hAnsi="Gothic720 BT" w:eastAsia="Times New Roman" w:cs="Times New Roman"/>
      <w:szCs w:val="20"/>
      <w:lang w:eastAsia="en-US"/>
    </w:rPr>
  </w:style>
  <w:style w:type="paragraph" w:styleId="NomedoAutoreCurso" w:customStyle="1">
    <w:name w:val="Nome do Autor e Curso"/>
    <w:basedOn w:val="Normal"/>
    <w:qFormat/>
    <w:rsid w:val="00444d53"/>
    <w:pPr>
      <w:widowControl w:val="false"/>
      <w:ind w:firstLine="1701"/>
      <w:jc w:val="center"/>
    </w:pPr>
    <w:rPr>
      <w:caps/>
      <w:sz w:val="28"/>
      <w:szCs w:val="20"/>
    </w:rPr>
  </w:style>
  <w:style w:type="paragraph" w:styleId="TtulodoTrabalho" w:customStyle="1">
    <w:name w:val="Título do Trabalho"/>
    <w:basedOn w:val="Normal"/>
    <w:next w:val="SubttulodoTrabalho"/>
    <w:qFormat/>
    <w:rsid w:val="00444d53"/>
    <w:pPr>
      <w:widowControl w:val="false"/>
      <w:ind w:firstLine="1701"/>
      <w:jc w:val="center"/>
    </w:pPr>
    <w:rPr>
      <w:b/>
      <w:caps/>
      <w:sz w:val="32"/>
      <w:szCs w:val="20"/>
    </w:rPr>
  </w:style>
  <w:style w:type="paragraph" w:styleId="SubttulodoTrabalho" w:customStyle="1">
    <w:name w:val="Subtítulo do Trabalho"/>
    <w:basedOn w:val="Normal"/>
    <w:next w:val="Normal"/>
    <w:qFormat/>
    <w:rsid w:val="00444d53"/>
    <w:pPr>
      <w:widowControl w:val="false"/>
      <w:ind w:firstLine="1701"/>
      <w:jc w:val="center"/>
    </w:pPr>
    <w:rPr>
      <w:b/>
      <w:smallCaps/>
      <w:sz w:val="28"/>
      <w:szCs w:val="20"/>
    </w:rPr>
  </w:style>
  <w:style w:type="paragraph" w:styleId="LocaleAnodeEntrega" w:customStyle="1">
    <w:name w:val="Local e Ano de Entrega"/>
    <w:basedOn w:val="Normal"/>
    <w:qFormat/>
    <w:rsid w:val="00444d53"/>
    <w:pPr>
      <w:widowControl w:val="false"/>
      <w:ind w:firstLine="1701"/>
      <w:jc w:val="center"/>
    </w:pPr>
    <w:rPr>
      <w:szCs w:val="20"/>
    </w:rPr>
  </w:style>
  <w:style w:type="paragraph" w:styleId="NaturezadoTrabalho" w:customStyle="1">
    <w:name w:val="Natureza do Trabalho"/>
    <w:basedOn w:val="Normal"/>
    <w:qFormat/>
    <w:rsid w:val="00444d53"/>
    <w:pPr>
      <w:widowControl w:val="false"/>
      <w:ind w:firstLine="1701" w:left="3969"/>
    </w:pPr>
    <w:rPr>
      <w:sz w:val="20"/>
      <w:szCs w:val="20"/>
    </w:rPr>
  </w:style>
  <w:style w:type="paragraph" w:styleId="Indexheading1">
    <w:name w:val="index heading1"/>
    <w:basedOn w:val="Ttulo1"/>
    <w:qFormat/>
    <w:pPr/>
    <w:rPr/>
  </w:style>
  <w:style w:type="paragraph" w:styleId="IndexHeading">
    <w:name w:val="Index Heading"/>
    <w:basedOn w:val="Ttulo"/>
    <w:pPr/>
    <w:rPr/>
  </w:style>
  <w:style w:type="paragraph" w:styleId="TOCHeading">
    <w:name w:val="TOC Heading"/>
    <w:basedOn w:val="Heading1"/>
    <w:next w:val="Normal"/>
    <w:uiPriority w:val="39"/>
    <w:unhideWhenUsed/>
    <w:qFormat/>
    <w:rsid w:val="00444d53"/>
    <w:pPr>
      <w:keepLines/>
      <w:spacing w:lineRule="auto" w:line="259" w:before="238" w:after="238"/>
      <w:ind w:hanging="0" w:left="0"/>
      <w:contextualSpacing/>
      <w:jc w:val="left"/>
      <w:outlineLvl w:val="9"/>
    </w:pPr>
    <w:rPr>
      <w:rFonts w:eastAsia="" w:cs="" w:cstheme="majorBidi" w:eastAsiaTheme="majorEastAsia"/>
      <w:caps w:val="false"/>
      <w:smallCaps w:val="false"/>
      <w:color w:val="000000"/>
      <w:kern w:val="0"/>
      <w:sz w:val="32"/>
      <w:szCs w:val="32"/>
    </w:rPr>
  </w:style>
  <w:style w:type="paragraph" w:styleId="TOC1">
    <w:name w:val="TOC 1"/>
    <w:basedOn w:val="Normal"/>
    <w:next w:val="Normal"/>
    <w:autoRedefine/>
    <w:uiPriority w:val="39"/>
    <w:unhideWhenUsed/>
    <w:rsid w:val="00444d53"/>
    <w:pPr>
      <w:tabs>
        <w:tab w:val="clear" w:pos="708"/>
        <w:tab w:val="left" w:pos="567" w:leader="none"/>
        <w:tab w:val="right" w:pos="9061" w:leader="dot"/>
      </w:tabs>
      <w:ind w:hanging="0"/>
    </w:pPr>
    <w:rPr>
      <w:rFonts w:eastAsia="" w:cs="" w:cstheme="minorBidi" w:eastAsiaTheme="minorEastAsia"/>
      <w:b/>
      <w:szCs w:val="22"/>
    </w:rPr>
  </w:style>
  <w:style w:type="paragraph" w:styleId="TOC2">
    <w:name w:val="TOC 2"/>
    <w:basedOn w:val="Normal"/>
    <w:next w:val="Normal"/>
    <w:autoRedefine/>
    <w:uiPriority w:val="39"/>
    <w:unhideWhenUsed/>
    <w:rsid w:val="00444d53"/>
    <w:pPr>
      <w:tabs>
        <w:tab w:val="clear" w:pos="708"/>
        <w:tab w:val="left" w:pos="1134" w:leader="none"/>
        <w:tab w:val="right" w:pos="9061" w:leader="dot"/>
      </w:tabs>
      <w:ind w:hanging="57"/>
    </w:pPr>
    <w:rPr>
      <w:rFonts w:eastAsia="" w:cs="" w:cstheme="minorBidi" w:eastAsiaTheme="minorEastAsia"/>
      <w:szCs w:val="22"/>
    </w:rPr>
  </w:style>
  <w:style w:type="paragraph" w:styleId="TOC3">
    <w:name w:val="TOC 3"/>
    <w:basedOn w:val="Normal"/>
    <w:next w:val="Normal"/>
    <w:autoRedefine/>
    <w:uiPriority w:val="39"/>
    <w:unhideWhenUsed/>
    <w:rsid w:val="00444d53"/>
    <w:pPr>
      <w:tabs>
        <w:tab w:val="clear" w:pos="708"/>
        <w:tab w:val="left" w:pos="1985" w:leader="none"/>
        <w:tab w:val="right" w:pos="9061" w:leader="dot"/>
      </w:tabs>
      <w:ind w:hanging="0"/>
    </w:pPr>
    <w:rPr>
      <w:rFonts w:eastAsia="" w:cs="" w:cstheme="minorBidi" w:eastAsiaTheme="minorEastAsia"/>
      <w:szCs w:val="22"/>
    </w:rPr>
  </w:style>
  <w:style w:type="paragraph" w:styleId="TOC4">
    <w:name w:val="TOC 4"/>
    <w:basedOn w:val="Normal"/>
    <w:next w:val="Normal"/>
    <w:autoRedefine/>
    <w:uiPriority w:val="39"/>
    <w:unhideWhenUsed/>
    <w:rsid w:val="00444d53"/>
    <w:pPr>
      <w:spacing w:lineRule="auto" w:line="259" w:before="0" w:after="100"/>
      <w:ind w:left="660"/>
    </w:pPr>
    <w:rPr>
      <w:rFonts w:ascii="Calibri" w:hAnsi="Calibri" w:eastAsia="" w:cs="" w:asciiTheme="minorHAnsi" w:cstheme="minorBidi" w:eastAsiaTheme="minorEastAsia" w:hAnsiTheme="minorHAnsi"/>
      <w:sz w:val="22"/>
      <w:szCs w:val="22"/>
    </w:rPr>
  </w:style>
  <w:style w:type="paragraph" w:styleId="TOC5">
    <w:name w:val="TOC 5"/>
    <w:basedOn w:val="Normal"/>
    <w:next w:val="Normal"/>
    <w:autoRedefine/>
    <w:uiPriority w:val="39"/>
    <w:unhideWhenUsed/>
    <w:rsid w:val="00444d53"/>
    <w:pPr>
      <w:spacing w:lineRule="auto" w:line="259" w:before="0" w:after="100"/>
      <w:ind w:left="880"/>
    </w:pPr>
    <w:rPr>
      <w:rFonts w:ascii="Calibri" w:hAnsi="Calibri" w:eastAsia="" w:cs="" w:asciiTheme="minorHAnsi" w:cstheme="minorBidi" w:eastAsiaTheme="minorEastAsia" w:hAnsiTheme="minorHAnsi"/>
      <w:sz w:val="22"/>
      <w:szCs w:val="22"/>
    </w:rPr>
  </w:style>
  <w:style w:type="paragraph" w:styleId="TOC6">
    <w:name w:val="TOC 6"/>
    <w:basedOn w:val="Normal"/>
    <w:next w:val="Normal"/>
    <w:autoRedefine/>
    <w:uiPriority w:val="39"/>
    <w:unhideWhenUsed/>
    <w:rsid w:val="00444d53"/>
    <w:pPr>
      <w:spacing w:lineRule="auto" w:line="259" w:before="0" w:after="100"/>
      <w:ind w:left="1100"/>
    </w:pPr>
    <w:rPr>
      <w:rFonts w:ascii="Calibri" w:hAnsi="Calibri" w:eastAsia="" w:cs="" w:asciiTheme="minorHAnsi" w:cstheme="minorBidi" w:eastAsiaTheme="minorEastAsia" w:hAnsiTheme="minorHAnsi"/>
      <w:sz w:val="22"/>
      <w:szCs w:val="22"/>
    </w:rPr>
  </w:style>
  <w:style w:type="paragraph" w:styleId="TOC7">
    <w:name w:val="TOC 7"/>
    <w:basedOn w:val="Normal"/>
    <w:next w:val="Normal"/>
    <w:autoRedefine/>
    <w:uiPriority w:val="39"/>
    <w:unhideWhenUsed/>
    <w:rsid w:val="00444d53"/>
    <w:pPr>
      <w:spacing w:lineRule="auto" w:line="259" w:before="0" w:after="100"/>
      <w:ind w:left="1320"/>
    </w:pPr>
    <w:rPr>
      <w:rFonts w:ascii="Calibri" w:hAnsi="Calibri" w:eastAsia="" w:cs="" w:asciiTheme="minorHAnsi" w:cstheme="minorBidi" w:eastAsiaTheme="minorEastAsia" w:hAnsiTheme="minorHAnsi"/>
      <w:sz w:val="22"/>
      <w:szCs w:val="22"/>
    </w:rPr>
  </w:style>
  <w:style w:type="paragraph" w:styleId="TOC8">
    <w:name w:val="TOC 8"/>
    <w:basedOn w:val="Normal"/>
    <w:next w:val="Normal"/>
    <w:autoRedefine/>
    <w:uiPriority w:val="39"/>
    <w:unhideWhenUsed/>
    <w:rsid w:val="00444d53"/>
    <w:pPr>
      <w:spacing w:lineRule="auto" w:line="259" w:before="0" w:after="100"/>
      <w:ind w:left="1540"/>
    </w:pPr>
    <w:rPr>
      <w:rFonts w:ascii="Calibri" w:hAnsi="Calibri" w:eastAsia="" w:cs="" w:asciiTheme="minorHAnsi" w:cstheme="minorBidi" w:eastAsiaTheme="minorEastAsia" w:hAnsiTheme="minorHAnsi"/>
      <w:sz w:val="22"/>
      <w:szCs w:val="22"/>
    </w:rPr>
  </w:style>
  <w:style w:type="paragraph" w:styleId="TOC9">
    <w:name w:val="TOC 9"/>
    <w:basedOn w:val="Normal"/>
    <w:next w:val="Normal"/>
    <w:autoRedefine/>
    <w:uiPriority w:val="39"/>
    <w:unhideWhenUsed/>
    <w:rsid w:val="00444d53"/>
    <w:pPr>
      <w:spacing w:lineRule="auto" w:line="259" w:before="0" w:after="100"/>
      <w:ind w:left="1760"/>
    </w:pPr>
    <w:rPr>
      <w:rFonts w:ascii="Calibri" w:hAnsi="Calibri" w:eastAsia="" w:cs="" w:asciiTheme="minorHAnsi" w:cstheme="minorBidi" w:eastAsiaTheme="minorEastAsia" w:hAnsiTheme="minorHAnsi"/>
      <w:sz w:val="22"/>
      <w:szCs w:val="22"/>
    </w:rPr>
  </w:style>
  <w:style w:type="paragraph" w:styleId="Textbody" w:customStyle="1">
    <w:name w:val="Text body"/>
    <w:basedOn w:val="Standard"/>
    <w:qFormat/>
    <w:rsid w:val="00444d53"/>
    <w:pPr>
      <w:widowControl/>
      <w:spacing w:lineRule="auto" w:line="276" w:before="0" w:after="140"/>
    </w:pPr>
    <w:rPr>
      <w:rFonts w:eastAsia="Noto Sans CJK SC" w:cs="Lohit Devanagari"/>
    </w:rPr>
  </w:style>
  <w:style w:type="paragraph" w:styleId="Textoprformatado" w:customStyle="1">
    <w:name w:val="Texto préformatado"/>
    <w:basedOn w:val="Standard"/>
    <w:qFormat/>
    <w:rsid w:val="00444d53"/>
    <w:pPr>
      <w:widowControl/>
    </w:pPr>
    <w:rPr>
      <w:rFonts w:ascii="Liberation Mono" w:hAnsi="Liberation Mono" w:eastAsia="DejaVu Sans Mono" w:cs="Liberation Mono"/>
      <w:sz w:val="20"/>
      <w:szCs w:val="20"/>
    </w:rPr>
  </w:style>
  <w:style w:type="paragraph" w:styleId="Revision">
    <w:name w:val="Revision"/>
    <w:uiPriority w:val="99"/>
    <w:semiHidden/>
    <w:qFormat/>
    <w:rsid w:val="0026440d"/>
    <w:pPr>
      <w:widowControl/>
      <w:suppressAutoHyphens w:val="true"/>
      <w:bidi w:val="0"/>
      <w:spacing w:before="0" w:after="0"/>
      <w:jc w:val="left"/>
    </w:pPr>
    <w:rPr>
      <w:rFonts w:ascii="Times New Roman" w:hAnsi="Times New Roman" w:eastAsia="Times New Roman" w:cs="Times New Roman"/>
      <w:color w:val="auto"/>
      <w:kern w:val="0"/>
      <w:sz w:val="24"/>
      <w:szCs w:val="24"/>
      <w:lang w:val="pt-BR" w:eastAsia="pt-BR" w:bidi="ar-SA"/>
    </w:rPr>
  </w:style>
  <w:style w:type="paragraph" w:styleId="Annotationtext">
    <w:name w:val="annotation text"/>
    <w:basedOn w:val="Normal"/>
    <w:link w:val="TextodecomentrioChar"/>
    <w:uiPriority w:val="99"/>
    <w:unhideWhenUsed/>
    <w:qFormat/>
    <w:rsid w:val="00da1ffd"/>
    <w:pPr/>
    <w:rPr>
      <w:sz w:val="20"/>
      <w:szCs w:val="20"/>
    </w:rPr>
  </w:style>
  <w:style w:type="paragraph" w:styleId="Annotationsubject">
    <w:name w:val="annotation subject"/>
    <w:basedOn w:val="Annotationtext"/>
    <w:next w:val="Annotationtext"/>
    <w:link w:val="AssuntodocomentrioChar"/>
    <w:uiPriority w:val="99"/>
    <w:semiHidden/>
    <w:unhideWhenUsed/>
    <w:qFormat/>
    <w:rsid w:val="00da1ffd"/>
    <w:pPr/>
    <w:rPr>
      <w:b/>
      <w:bCs/>
    </w:rPr>
  </w:style>
  <w:style w:type="paragraph" w:styleId="Tagline" w:customStyle="1">
    <w:name w:val="tagline"/>
    <w:basedOn w:val="Normal"/>
    <w:qFormat/>
    <w:rsid w:val="0094664f"/>
    <w:pPr>
      <w:spacing w:beforeAutospacing="1" w:afterAutospacing="1"/>
    </w:pPr>
    <w:rPr/>
  </w:style>
  <w:style w:type="paragraph" w:styleId="Figura" w:customStyle="1">
    <w:name w:val="Figura"/>
    <w:basedOn w:val="Caption1"/>
    <w:qFormat/>
    <w:rsid w:val="004d0923"/>
    <w:pPr>
      <w:jc w:val="both"/>
    </w:pPr>
    <w:rPr>
      <w:rFonts w:ascii="Arial" w:hAnsi="Arial" w:eastAsia="Times New Roman"/>
      <w:sz w:val="18"/>
    </w:rPr>
  </w:style>
  <w:style w:type="paragraph" w:styleId="Ttulodetabela" w:customStyle="1">
    <w:name w:val="Título de tabela"/>
    <w:basedOn w:val="Contedodatabela"/>
    <w:qFormat/>
    <w:pPr>
      <w:jc w:val="center"/>
    </w:pPr>
    <w:rPr>
      <w:b/>
      <w:bCs/>
    </w:rPr>
  </w:style>
  <w:style w:type="paragraph" w:styleId="Ttulo10" w:customStyle="1">
    <w:name w:val="Título 10"/>
    <w:basedOn w:val="Ttulo1"/>
    <w:next w:val="BodyText"/>
    <w:qFormat/>
    <w:pPr>
      <w:tabs>
        <w:tab w:val="clear" w:pos="708"/>
        <w:tab w:val="left" w:pos="0" w:leader="none"/>
      </w:tabs>
      <w:spacing w:before="60" w:after="60"/>
      <w:ind w:hanging="1584" w:left="1584"/>
      <w:outlineLvl w:val="8"/>
    </w:pPr>
    <w:rPr>
      <w:b/>
      <w:bCs/>
      <w:sz w:val="18"/>
      <w:szCs w:val="18"/>
    </w:rPr>
  </w:style>
  <w:style w:type="paragraph" w:styleId="Ttulodondicedefiguras" w:customStyle="1">
    <w:name w:val="Título do índice de figuras"/>
    <w:basedOn w:val="Indexheading1"/>
    <w:qFormat/>
    <w:pPr>
      <w:suppressLineNumbers/>
      <w:spacing w:before="238" w:after="238"/>
    </w:pPr>
    <w:rPr>
      <w:rFonts w:ascii="Arial" w:hAnsi="Arial"/>
      <w:b/>
      <w:bCs/>
      <w:sz w:val="32"/>
      <w:szCs w:val="32"/>
    </w:rPr>
  </w:style>
  <w:style w:type="paragraph" w:styleId="TableofFigures">
    <w:name w:val="Table of Figures"/>
    <w:basedOn w:val="Ndice"/>
    <w:uiPriority w:val="99"/>
    <w:pPr>
      <w:tabs>
        <w:tab w:val="clear" w:pos="708"/>
        <w:tab w:val="right" w:pos="9354" w:leader="dot"/>
      </w:tabs>
      <w:spacing w:lineRule="auto" w:line="276"/>
    </w:pPr>
    <w:rPr>
      <w:rFonts w:ascii="Arial" w:hAnsi="Arial"/>
    </w:rPr>
  </w:style>
  <w:style w:type="paragraph" w:styleId="Tabela" w:customStyle="1">
    <w:name w:val="Tabela"/>
    <w:basedOn w:val="Caption1"/>
    <w:qFormat/>
    <w:pPr/>
    <w:rPr/>
  </w:style>
  <w:style w:type="paragraph" w:styleId="Textbodyindent" w:customStyle="1">
    <w:name w:val="Text body indent"/>
    <w:basedOn w:val="Standard"/>
    <w:qFormat/>
    <w:rsid w:val="004d0923"/>
    <w:pPr>
      <w:widowControl/>
      <w:spacing w:before="0" w:after="120"/>
      <w:ind w:firstLine="567" w:left="283"/>
    </w:pPr>
    <w:rPr>
      <w:rFonts w:ascii="Liberation Sans" w:hAnsi="Liberation Sans" w:eastAsia="Times New Roman" w:cs="Lohit Devanagari"/>
      <w:szCs w:val="20"/>
    </w:rPr>
  </w:style>
  <w:style w:type="paragraph" w:styleId="Contedodoquadro" w:customStyle="1">
    <w:name w:val="Conteúdo do quadro"/>
    <w:basedOn w:val="Standard"/>
    <w:qFormat/>
    <w:rsid w:val="004d0923"/>
    <w:pPr>
      <w:widowControl/>
    </w:pPr>
    <w:rPr>
      <w:rFonts w:ascii="Liberation Sans" w:hAnsi="Liberation Sans" w:eastAsia="Times New Roman" w:cs="Lohit Devanagari"/>
    </w:rPr>
  </w:style>
  <w:style w:type="paragraph" w:styleId="Xmsonormal" w:customStyle="1">
    <w:name w:val="x_msonormal"/>
    <w:basedOn w:val="Normal"/>
    <w:qFormat/>
    <w:rsid w:val="004d0923"/>
    <w:pPr>
      <w:suppressAutoHyphens w:val="false"/>
      <w:spacing w:lineRule="auto" w:line="240" w:beforeAutospacing="1" w:afterAutospacing="1"/>
      <w:ind w:hanging="0"/>
      <w:jc w:val="left"/>
    </w:pPr>
    <w:rPr>
      <w:rFonts w:ascii="Times New Roman" w:hAnsi="Times New Roman"/>
    </w:rPr>
  </w:style>
  <w:style w:type="paragraph" w:styleId="Cabealhoesquerda" w:customStyle="1">
    <w:name w:val="Cabeçalho à esquerda"/>
    <w:basedOn w:val="Header"/>
    <w:qFormat/>
    <w:pPr/>
    <w:rPr/>
  </w:style>
  <w:style w:type="paragraph" w:styleId="Subtitle">
    <w:name w:val="Subtitle"/>
    <w:basedOn w:val="Normal"/>
    <w:next w:val="Normal"/>
    <w:link w:val="SubttuloChar"/>
    <w:uiPriority w:val="11"/>
    <w:qFormat/>
    <w:rsid w:val="005149c2"/>
    <w:pPr>
      <w:ind w:firstLine="567"/>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oChar"/>
    <w:uiPriority w:val="29"/>
    <w:qFormat/>
    <w:rsid w:val="005149c2"/>
    <w:pPr>
      <w:spacing w:before="160" w:after="0"/>
      <w:jc w:val="center"/>
    </w:pPr>
    <w:rPr>
      <w:i/>
      <w:iCs/>
      <w:color w:themeColor="text1" w:themeTint="bf" w:val="404040"/>
    </w:rPr>
  </w:style>
  <w:style w:type="paragraph" w:styleId="IntenseQuote">
    <w:name w:val="Intense Quote"/>
    <w:basedOn w:val="Normal"/>
    <w:next w:val="Normal"/>
    <w:link w:val="CitaoIntensaChar"/>
    <w:uiPriority w:val="30"/>
    <w:qFormat/>
    <w:rsid w:val="005149c2"/>
    <w:pPr>
      <w:pBdr>
        <w:top w:val="single" w:sz="4" w:space="10" w:color="365F91" w:themeColor="accent1" w:themeShade="bf"/>
        <w:bottom w:val="single" w:sz="4" w:space="10" w:color="365F91" w:themeColor="accent1" w:themeShade="bf"/>
      </w:pBdr>
      <w:spacing w:before="360" w:after="360"/>
      <w:ind w:left="864" w:right="864"/>
      <w:jc w:val="center"/>
    </w:pPr>
    <w:rPr>
      <w:i/>
      <w:iCs/>
      <w:color w:themeColor="accent1" w:themeShade="bf" w:val="365F91"/>
    </w:rPr>
  </w:style>
  <w:style w:type="paragraph" w:styleId="Msonormal" w:customStyle="1">
    <w:name w:val="msonormal"/>
    <w:basedOn w:val="Normal"/>
    <w:qFormat/>
    <w:rsid w:val="005149c2"/>
    <w:pPr>
      <w:suppressAutoHyphens w:val="false"/>
      <w:spacing w:lineRule="auto" w:line="240" w:beforeAutospacing="1" w:afterAutospacing="1"/>
      <w:ind w:hanging="0"/>
      <w:jc w:val="left"/>
    </w:pPr>
    <w:rPr>
      <w:rFonts w:ascii="Times New Roman" w:hAnsi="Times New Roman"/>
    </w:rPr>
  </w:style>
  <w:style w:type="paragraph" w:styleId="Xl65" w:customStyle="1">
    <w:name w:val="xl65"/>
    <w:basedOn w:val="Normal"/>
    <w:qFormat/>
    <w:rsid w:val="005149c2"/>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ind w:hanging="0"/>
      <w:jc w:val="center"/>
    </w:pPr>
    <w:rPr>
      <w:rFonts w:cs="Arial"/>
      <w:b/>
      <w:bCs/>
    </w:rPr>
  </w:style>
  <w:style w:type="paragraph" w:styleId="Xl66" w:customStyle="1">
    <w:name w:val="xl66"/>
    <w:basedOn w:val="Normal"/>
    <w:qFormat/>
    <w:rsid w:val="005149c2"/>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ind w:hanging="0"/>
      <w:jc w:val="center"/>
    </w:pPr>
    <w:rPr>
      <w:rFonts w:cs="Arial"/>
    </w:rPr>
  </w:style>
  <w:style w:type="paragraph" w:styleId="Xl67" w:customStyle="1">
    <w:name w:val="xl67"/>
    <w:basedOn w:val="Normal"/>
    <w:qFormat/>
    <w:rsid w:val="005149c2"/>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ind w:hanging="0"/>
      <w:jc w:val="right"/>
    </w:pPr>
    <w:rPr>
      <w:rFonts w:cs="Arial"/>
    </w:rPr>
  </w:style>
  <w:style w:type="paragraph" w:styleId="Xl68" w:customStyle="1">
    <w:name w:val="xl68"/>
    <w:basedOn w:val="Normal"/>
    <w:qFormat/>
    <w:rsid w:val="005149c2"/>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ind w:hanging="0"/>
      <w:jc w:val="left"/>
    </w:pPr>
    <w:rPr>
      <w:rFonts w:cs="Arial"/>
    </w:rPr>
  </w:style>
  <w:style w:type="paragraph" w:styleId="Xl69" w:customStyle="1">
    <w:name w:val="xl69"/>
    <w:basedOn w:val="Normal"/>
    <w:qFormat/>
    <w:rsid w:val="005149c2"/>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ind w:hanging="0"/>
      <w:jc w:val="left"/>
    </w:pPr>
    <w:rPr>
      <w:rFonts w:cs="Arial"/>
    </w:rPr>
  </w:style>
  <w:style w:type="paragraph" w:styleId="Xl70" w:customStyle="1">
    <w:name w:val="xl70"/>
    <w:basedOn w:val="Normal"/>
    <w:qFormat/>
    <w:rsid w:val="005149c2"/>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ind w:hanging="0"/>
      <w:jc w:val="left"/>
    </w:pPr>
    <w:rPr>
      <w:rFonts w:cs="Arial"/>
    </w:rPr>
  </w:style>
  <w:style w:type="numbering" w:styleId="NoList" w:default="1">
    <w:name w:val="No List"/>
    <w:uiPriority w:val="99"/>
    <w:semiHidden/>
    <w:unhideWhenUsed/>
    <w:qFormat/>
  </w:style>
  <w:style w:type="numbering" w:styleId="Semlista1" w:customStyle="1">
    <w:name w:val="Sem lista1"/>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39"/>
    <w:rsid w:val="00f930f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adeGradeClara">
    <w:name w:val="Grid Table Light"/>
    <w:basedOn w:val="Tabelanormal"/>
    <w:uiPriority w:val="40"/>
    <w:rsid w:val="004d0923"/>
    <w:rPr>
      <w:lang w:eastAsia="zh-CN" w:bidi="hi-IN"/>
      <w:sz w:val="24"/>
      <w:szCs w:val="24"/>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chart" Target="charts/chart1.xm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chart" Target="charts/chart2.xml"/><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chart" Target="charts/chart3.xml"/><Relationship Id="rId18" Type="http://schemas.openxmlformats.org/officeDocument/2006/relationships/header" Target="header5.xml"/><Relationship Id="rId19" Type="http://schemas.openxmlformats.org/officeDocument/2006/relationships/header" Target="header6.xml"/><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header" Target="header7.xml"/><Relationship Id="rId23" Type="http://schemas.openxmlformats.org/officeDocument/2006/relationships/header" Target="header8.xml"/><Relationship Id="rId24" Type="http://schemas.openxmlformats.org/officeDocument/2006/relationships/footer" Target="footer7.xml"/><Relationship Id="rId25" Type="http://schemas.openxmlformats.org/officeDocument/2006/relationships/footer" Target="footer8.xml"/><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package" Target="embeddings/oleObject1.xlsx"/><Relationship Id="rId29" Type="http://schemas.openxmlformats.org/officeDocument/2006/relationships/image" Target="media/image12.emf"/><Relationship Id="rId30" Type="http://schemas.openxmlformats.org/officeDocument/2006/relationships/header" Target="header9.xml"/><Relationship Id="rId31" Type="http://schemas.openxmlformats.org/officeDocument/2006/relationships/header" Target="header10.xml"/><Relationship Id="rId32" Type="http://schemas.openxmlformats.org/officeDocument/2006/relationships/footer" Target="footer9.xml"/><Relationship Id="rId33" Type="http://schemas.openxmlformats.org/officeDocument/2006/relationships/footer" Target="footer10.xml"/><Relationship Id="rId34" Type="http://schemas.openxmlformats.org/officeDocument/2006/relationships/image" Target="media/image13.png"/><Relationship Id="rId35" Type="http://schemas.openxmlformats.org/officeDocument/2006/relationships/header" Target="header11.xml"/><Relationship Id="rId36" Type="http://schemas.openxmlformats.org/officeDocument/2006/relationships/header" Target="header12.xml"/><Relationship Id="rId37" Type="http://schemas.openxmlformats.org/officeDocument/2006/relationships/footer" Target="footer11.xml"/><Relationship Id="rId38" Type="http://schemas.openxmlformats.org/officeDocument/2006/relationships/footer" Target="footer12.xml"/><Relationship Id="rId39" Type="http://schemas.openxmlformats.org/officeDocument/2006/relationships/numbering" Target="numbering.xml"/><Relationship Id="rId40" Type="http://schemas.openxmlformats.org/officeDocument/2006/relationships/fontTable" Target="fontTable.xml"/><Relationship Id="rId41" Type="http://schemas.openxmlformats.org/officeDocument/2006/relationships/settings" Target="settings.xml"/><Relationship Id="rId42" Type="http://schemas.openxmlformats.org/officeDocument/2006/relationships/theme" Target="theme/theme1.xml"/><Relationship Id="rId43"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7.png"/>
</Relationships>
</file>

<file path=word/_rels/footer10.xml.rels><?xml version="1.0" encoding="UTF-8"?>
<Relationships xmlns="http://schemas.openxmlformats.org/package/2006/relationships"><Relationship Id="rId1" Type="http://schemas.openxmlformats.org/officeDocument/2006/relationships/image" Target="media/image7.png"/>
</Relationships>
</file>

<file path=word/_rels/footer11.xml.rels><?xml version="1.0" encoding="UTF-8"?>
<Relationships xmlns="http://schemas.openxmlformats.org/package/2006/relationships"><Relationship Id="rId1" Type="http://schemas.openxmlformats.org/officeDocument/2006/relationships/image" Target="media/image7.png"/>
</Relationships>
</file>

<file path=word/_rels/footer12.xml.rels><?xml version="1.0" encoding="UTF-8"?>
<Relationships xmlns="http://schemas.openxmlformats.org/package/2006/relationships"><Relationship Id="rId1" Type="http://schemas.openxmlformats.org/officeDocument/2006/relationships/image" Target="media/image7.png"/>
</Relationships>
</file>

<file path=word/_rels/footer2.xml.rels><?xml version="1.0" encoding="UTF-8"?>
<Relationships xmlns="http://schemas.openxmlformats.org/package/2006/relationships"><Relationship Id="rId1" Type="http://schemas.openxmlformats.org/officeDocument/2006/relationships/image" Target="media/image7.png"/>
</Relationships>
</file>

<file path=word/_rels/footer3.xml.rels><?xml version="1.0" encoding="UTF-8"?>
<Relationships xmlns="http://schemas.openxmlformats.org/package/2006/relationships"><Relationship Id="rId1" Type="http://schemas.openxmlformats.org/officeDocument/2006/relationships/image" Target="media/image7.png"/>
</Relationships>
</file>

<file path=word/_rels/footer4.xml.rels><?xml version="1.0" encoding="UTF-8"?>
<Relationships xmlns="http://schemas.openxmlformats.org/package/2006/relationships"><Relationship Id="rId1" Type="http://schemas.openxmlformats.org/officeDocument/2006/relationships/image" Target="media/image7.png"/>
</Relationships>
</file>

<file path=word/_rels/footer5.xml.rels><?xml version="1.0" encoding="UTF-8"?>
<Relationships xmlns="http://schemas.openxmlformats.org/package/2006/relationships"><Relationship Id="rId1" Type="http://schemas.openxmlformats.org/officeDocument/2006/relationships/image" Target="media/image7.png"/>
</Relationships>
</file>

<file path=word/_rels/footer6.xml.rels><?xml version="1.0" encoding="UTF-8"?>
<Relationships xmlns="http://schemas.openxmlformats.org/package/2006/relationships"><Relationship Id="rId1" Type="http://schemas.openxmlformats.org/officeDocument/2006/relationships/image" Target="media/image7.png"/>
</Relationships>
</file>

<file path=word/_rels/footer7.xml.rels><?xml version="1.0" encoding="UTF-8"?>
<Relationships xmlns="http://schemas.openxmlformats.org/package/2006/relationships"><Relationship Id="rId1" Type="http://schemas.openxmlformats.org/officeDocument/2006/relationships/image" Target="media/image7.png"/>
</Relationships>
</file>

<file path=word/_rels/footer8.xml.rels><?xml version="1.0" encoding="UTF-8"?>
<Relationships xmlns="http://schemas.openxmlformats.org/package/2006/relationships"><Relationship Id="rId1" Type="http://schemas.openxmlformats.org/officeDocument/2006/relationships/image" Target="media/image7.png"/>
</Relationships>
</file>

<file path=word/_rels/footer9.xml.rels><?xml version="1.0" encoding="UTF-8"?>
<Relationships xmlns="http://schemas.openxmlformats.org/package/2006/relationships"><Relationship Id="rId1" Type="http://schemas.openxmlformats.org/officeDocument/2006/relationships/image" Target="media/image7.png"/>
</Relationships>
</file>

<file path=word/_rels/header1.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
</Relationships>
</file>

<file path=word/_rels/header10.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
</Relationships>
</file>

<file path=word/_rels/header11.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
</Relationships>
</file>

<file path=word/_rels/header12.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
</Relationships>
</file>

<file path=word/_rels/header2.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
</Relationships>
</file>

<file path=word/_rels/header3.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
</Relationships>
</file>

<file path=word/_rels/header4.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
</Relationships>
</file>

<file path=word/_rels/header5.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
</Relationships>
</file>

<file path=word/_rels/header6.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
</Relationships>
</file>

<file path=word/_rels/header7.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
</Relationships>
</file>

<file path=word/_rels/header8.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
</Relationships>
</file>

<file path=word/_rels/header9.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pt-BR" sz="1400" spc="-1" strike="noStrike">
                <a:solidFill>
                  <a:srgbClr val="000000"/>
                </a:solidFill>
                <a:latin typeface="Calibri"/>
              </a:defRPr>
            </a:pPr>
            <a:r>
              <a:rPr b="1" lang="pt-BR" sz="1400" spc="-1" strike="noStrike">
                <a:solidFill>
                  <a:srgbClr val="000000"/>
                </a:solidFill>
                <a:latin typeface="Calibri"/>
              </a:rPr>
              <a:t>Avaliação Terrenos</a:t>
            </a:r>
          </a:p>
        </c:rich>
      </c:tx>
      <c:layout>
        <c:manualLayout>
          <c:xMode val="edge"/>
          <c:yMode val="edge"/>
          <c:x val="0.359781405644715"/>
          <c:y val="0.0263157894736842"/>
        </c:manualLayout>
      </c:layout>
      <c:overlay val="0"/>
      <c:spPr>
        <a:noFill/>
        <a:ln w="0">
          <a:noFill/>
        </a:ln>
      </c:spPr>
    </c:title>
    <c:autoTitleDeleted val="0"/>
    <c:plotArea>
      <c:scatterChart>
        <c:scatterStyle val="lineMarker"/>
        <c:varyColors val="0"/>
        <c:ser>
          <c:idx val="0"/>
          <c:order val="0"/>
          <c:tx>
            <c:strRef>
              <c:f>label 0</c:f>
              <c:strCache>
                <c:ptCount val="1"/>
                <c:pt idx="0">
                  <c:v>Série 2</c:v>
                </c:pt>
              </c:strCache>
            </c:strRef>
          </c:tx>
          <c:spPr>
            <a:solidFill>
              <a:srgbClr val="4f81bd"/>
            </a:solidFill>
            <a:ln w="38160">
              <a:noFill/>
            </a:ln>
          </c:spPr>
          <c:marker>
            <c:symbol val="circle"/>
            <c:size val="5"/>
            <c:spPr>
              <a:solidFill>
                <a:srgbClr val="4f81bd"/>
              </a:solidFill>
            </c:spPr>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trendline>
            <c:spPr>
              <a:ln cap="rnd" w="19080">
                <a:solidFill>
                  <a:srgbClr val="4f81bd"/>
                </a:solidFill>
                <a:prstDash val="sysDot"/>
                <a:round/>
              </a:ln>
            </c:spPr>
            <c:trendlineType val="linear"/>
            <c:forward val="0"/>
            <c:backward val="0"/>
            <c:dispRSqr val="1"/>
            <c:dispEq val="1"/>
          </c:trendline>
          <c:xVal>
            <c:numRef>
              <c:f>1</c:f>
              <c:numCache>
                <c:formatCode>General</c:formatCode>
                <c:ptCount val="73"/>
                <c:pt idx="0">
                  <c:v>9535000</c:v>
                </c:pt>
                <c:pt idx="1">
                  <c:v>70462.86</c:v>
                </c:pt>
                <c:pt idx="2">
                  <c:v>70000</c:v>
                </c:pt>
                <c:pt idx="3">
                  <c:v>80000</c:v>
                </c:pt>
                <c:pt idx="4">
                  <c:v>245400</c:v>
                </c:pt>
                <c:pt idx="5">
                  <c:v>450000</c:v>
                </c:pt>
                <c:pt idx="6">
                  <c:v>1000000</c:v>
                </c:pt>
                <c:pt idx="7">
                  <c:v>62560</c:v>
                </c:pt>
                <c:pt idx="8">
                  <c:v>62500</c:v>
                </c:pt>
                <c:pt idx="9">
                  <c:v>270500</c:v>
                </c:pt>
                <c:pt idx="10">
                  <c:v>250000</c:v>
                </c:pt>
                <c:pt idx="11">
                  <c:v>245400</c:v>
                </c:pt>
                <c:pt idx="12">
                  <c:v>168500</c:v>
                </c:pt>
                <c:pt idx="13">
                  <c:v>40506.67</c:v>
                </c:pt>
                <c:pt idx="14">
                  <c:v>41000</c:v>
                </c:pt>
                <c:pt idx="15">
                  <c:v>42078.95</c:v>
                </c:pt>
                <c:pt idx="16">
                  <c:v>66103.84</c:v>
                </c:pt>
                <c:pt idx="17">
                  <c:v>230000</c:v>
                </c:pt>
                <c:pt idx="18">
                  <c:v>50000</c:v>
                </c:pt>
                <c:pt idx="19">
                  <c:v>77404.98</c:v>
                </c:pt>
                <c:pt idx="20">
                  <c:v>3913600</c:v>
                </c:pt>
                <c:pt idx="21">
                  <c:v>1200000</c:v>
                </c:pt>
                <c:pt idx="22">
                  <c:v>50000</c:v>
                </c:pt>
                <c:pt idx="23">
                  <c:v>50000</c:v>
                </c:pt>
                <c:pt idx="24">
                  <c:v>50000</c:v>
                </c:pt>
                <c:pt idx="25">
                  <c:v>50000</c:v>
                </c:pt>
                <c:pt idx="26">
                  <c:v>1250000</c:v>
                </c:pt>
                <c:pt idx="27">
                  <c:v>1250000</c:v>
                </c:pt>
                <c:pt idx="28">
                  <c:v>533000</c:v>
                </c:pt>
                <c:pt idx="29">
                  <c:v>155078.4</c:v>
                </c:pt>
                <c:pt idx="30">
                  <c:v>933390</c:v>
                </c:pt>
                <c:pt idx="31">
                  <c:v>310000</c:v>
                </c:pt>
                <c:pt idx="32">
                  <c:v>172179.51</c:v>
                </c:pt>
                <c:pt idx="33">
                  <c:v>191292.56</c:v>
                </c:pt>
                <c:pt idx="34">
                  <c:v>210870</c:v>
                </c:pt>
                <c:pt idx="35">
                  <c:v>3000000</c:v>
                </c:pt>
                <c:pt idx="36">
                  <c:v>190671.43</c:v>
                </c:pt>
                <c:pt idx="37">
                  <c:v>2952961.3</c:v>
                </c:pt>
                <c:pt idx="38">
                  <c:v>63502.31</c:v>
                </c:pt>
                <c:pt idx="39">
                  <c:v>54487.76</c:v>
                </c:pt>
                <c:pt idx="40">
                  <c:v>55568.63</c:v>
                </c:pt>
                <c:pt idx="41">
                  <c:v>52512</c:v>
                </c:pt>
                <c:pt idx="42">
                  <c:v>85706.79</c:v>
                </c:pt>
                <c:pt idx="43">
                  <c:v>190350</c:v>
                </c:pt>
                <c:pt idx="44">
                  <c:v>150000</c:v>
                </c:pt>
                <c:pt idx="45">
                  <c:v>96546.86</c:v>
                </c:pt>
                <c:pt idx="46">
                  <c:v>76000</c:v>
                </c:pt>
                <c:pt idx="47">
                  <c:v>75000</c:v>
                </c:pt>
                <c:pt idx="48">
                  <c:v>80000</c:v>
                </c:pt>
                <c:pt idx="49">
                  <c:v>70462.86</c:v>
                </c:pt>
                <c:pt idx="50">
                  <c:v>35404.86</c:v>
                </c:pt>
                <c:pt idx="51">
                  <c:v>273170.73</c:v>
                </c:pt>
                <c:pt idx="52">
                  <c:v>500000</c:v>
                </c:pt>
                <c:pt idx="53">
                  <c:v>42502.5</c:v>
                </c:pt>
                <c:pt idx="54">
                  <c:v>250000</c:v>
                </c:pt>
                <c:pt idx="55">
                  <c:v>435100</c:v>
                </c:pt>
                <c:pt idx="56">
                  <c:v>97700</c:v>
                </c:pt>
                <c:pt idx="57">
                  <c:v>146600</c:v>
                </c:pt>
                <c:pt idx="58">
                  <c:v>30000</c:v>
                </c:pt>
                <c:pt idx="59">
                  <c:v>415000</c:v>
                </c:pt>
                <c:pt idx="60">
                  <c:v>41000</c:v>
                </c:pt>
                <c:pt idx="61">
                  <c:v>45000</c:v>
                </c:pt>
                <c:pt idx="62">
                  <c:v>75000</c:v>
                </c:pt>
                <c:pt idx="63">
                  <c:v>62500</c:v>
                </c:pt>
                <c:pt idx="64">
                  <c:v>39384</c:v>
                </c:pt>
                <c:pt idx="65">
                  <c:v>216700</c:v>
                </c:pt>
                <c:pt idx="66">
                  <c:v>39500</c:v>
                </c:pt>
                <c:pt idx="67">
                  <c:v>343300</c:v>
                </c:pt>
                <c:pt idx="68">
                  <c:v>61437.14</c:v>
                </c:pt>
                <c:pt idx="69">
                  <c:v>32558</c:v>
                </c:pt>
                <c:pt idx="70">
                  <c:v>32558</c:v>
                </c:pt>
                <c:pt idx="71">
                  <c:v>1364328.04</c:v>
                </c:pt>
                <c:pt idx="72">
                  <c:v>170000</c:v>
                </c:pt>
              </c:numCache>
            </c:numRef>
          </c:xVal>
          <c:yVal>
            <c:numRef>
              <c:f>0</c:f>
              <c:numCache>
                <c:formatCode>General</c:formatCode>
                <c:ptCount val="73"/>
                <c:pt idx="0">
                  <c:v>8417908.25</c:v>
                </c:pt>
                <c:pt idx="1">
                  <c:v>82546</c:v>
                </c:pt>
                <c:pt idx="2">
                  <c:v>69260</c:v>
                </c:pt>
                <c:pt idx="3">
                  <c:v>72856</c:v>
                </c:pt>
                <c:pt idx="4">
                  <c:v>267690.72</c:v>
                </c:pt>
                <c:pt idx="5">
                  <c:v>463017</c:v>
                </c:pt>
                <c:pt idx="6">
                  <c:v>969622.5</c:v>
                </c:pt>
                <c:pt idx="7">
                  <c:v>48512</c:v>
                </c:pt>
                <c:pt idx="8">
                  <c:v>48512</c:v>
                </c:pt>
                <c:pt idx="9">
                  <c:v>295360.94</c:v>
                </c:pt>
                <c:pt idx="10">
                  <c:v>277316.16</c:v>
                </c:pt>
                <c:pt idx="11">
                  <c:v>251993.28</c:v>
                </c:pt>
                <c:pt idx="12">
                  <c:v>108768</c:v>
                </c:pt>
                <c:pt idx="13">
                  <c:v>41990</c:v>
                </c:pt>
                <c:pt idx="14">
                  <c:v>41990</c:v>
                </c:pt>
                <c:pt idx="15">
                  <c:v>43138</c:v>
                </c:pt>
                <c:pt idx="16">
                  <c:v>73928.76</c:v>
                </c:pt>
                <c:pt idx="17">
                  <c:v>134817.21</c:v>
                </c:pt>
                <c:pt idx="18">
                  <c:v>35829.2</c:v>
                </c:pt>
                <c:pt idx="19">
                  <c:v>55042</c:v>
                </c:pt>
                <c:pt idx="20">
                  <c:v>2652259.45</c:v>
                </c:pt>
                <c:pt idx="21">
                  <c:v>1241727.98</c:v>
                </c:pt>
                <c:pt idx="22">
                  <c:v>51416.42</c:v>
                </c:pt>
                <c:pt idx="23">
                  <c:v>32572</c:v>
                </c:pt>
                <c:pt idx="24">
                  <c:v>32574</c:v>
                </c:pt>
                <c:pt idx="25">
                  <c:v>32236</c:v>
                </c:pt>
                <c:pt idx="26">
                  <c:v>495244.26</c:v>
                </c:pt>
                <c:pt idx="27">
                  <c:v>1285046.79</c:v>
                </c:pt>
                <c:pt idx="28">
                  <c:v>755418.22</c:v>
                </c:pt>
                <c:pt idx="29">
                  <c:v>181288.74</c:v>
                </c:pt>
                <c:pt idx="30">
                  <c:v>1244102.22</c:v>
                </c:pt>
                <c:pt idx="31">
                  <c:v>371217</c:v>
                </c:pt>
                <c:pt idx="32">
                  <c:v>200595.91</c:v>
                </c:pt>
                <c:pt idx="33">
                  <c:v>245239.29</c:v>
                </c:pt>
                <c:pt idx="34">
                  <c:v>255657.6</c:v>
                </c:pt>
                <c:pt idx="35">
                  <c:v>2021481</c:v>
                </c:pt>
                <c:pt idx="36">
                  <c:v>285957</c:v>
                </c:pt>
                <c:pt idx="37">
                  <c:v>4217521.26</c:v>
                </c:pt>
                <c:pt idx="38">
                  <c:v>72981.24</c:v>
                </c:pt>
                <c:pt idx="39">
                  <c:v>63108.68</c:v>
                </c:pt>
                <c:pt idx="40">
                  <c:v>67366.56</c:v>
                </c:pt>
                <c:pt idx="41">
                  <c:v>57201.6</c:v>
                </c:pt>
                <c:pt idx="42">
                  <c:v>117170.81</c:v>
                </c:pt>
                <c:pt idx="43">
                  <c:v>170553</c:v>
                </c:pt>
                <c:pt idx="44">
                  <c:v>100714</c:v>
                </c:pt>
                <c:pt idx="45">
                  <c:v>96655.68</c:v>
                </c:pt>
                <c:pt idx="46">
                  <c:v>38623.9</c:v>
                </c:pt>
                <c:pt idx="47">
                  <c:v>34814.64</c:v>
                </c:pt>
                <c:pt idx="48">
                  <c:v>35943.25</c:v>
                </c:pt>
                <c:pt idx="49">
                  <c:v>82102</c:v>
                </c:pt>
                <c:pt idx="50">
                  <c:v>46742.2</c:v>
                </c:pt>
                <c:pt idx="51">
                  <c:v>298617.25</c:v>
                </c:pt>
                <c:pt idx="52">
                  <c:v>466206</c:v>
                </c:pt>
                <c:pt idx="53">
                  <c:v>83531.05</c:v>
                </c:pt>
                <c:pt idx="54">
                  <c:v>257141.28</c:v>
                </c:pt>
                <c:pt idx="55">
                  <c:v>517455.15</c:v>
                </c:pt>
                <c:pt idx="56">
                  <c:v>94532.13</c:v>
                </c:pt>
                <c:pt idx="57">
                  <c:v>174905.02</c:v>
                </c:pt>
                <c:pt idx="58">
                  <c:v>59376.67</c:v>
                </c:pt>
                <c:pt idx="59">
                  <c:v>519808.25</c:v>
                </c:pt>
                <c:pt idx="60">
                  <c:v>43104</c:v>
                </c:pt>
                <c:pt idx="61">
                  <c:v>41990</c:v>
                </c:pt>
                <c:pt idx="62">
                  <c:v>33971</c:v>
                </c:pt>
                <c:pt idx="63">
                  <c:v>46088</c:v>
                </c:pt>
                <c:pt idx="64">
                  <c:v>44362.8</c:v>
                </c:pt>
                <c:pt idx="65">
                  <c:v>246428.16</c:v>
                </c:pt>
                <c:pt idx="66">
                  <c:v>44362.8</c:v>
                </c:pt>
                <c:pt idx="67">
                  <c:v>507444.9</c:v>
                </c:pt>
                <c:pt idx="68">
                  <c:v>27554</c:v>
                </c:pt>
                <c:pt idx="69">
                  <c:v>32558</c:v>
                </c:pt>
                <c:pt idx="70">
                  <c:v>35813.8</c:v>
                </c:pt>
                <c:pt idx="71">
                  <c:v>2317275.6</c:v>
                </c:pt>
                <c:pt idx="72">
                  <c:v>242519.4</c:v>
                </c:pt>
              </c:numCache>
            </c:numRef>
          </c:yVal>
          <c:smooth val="0"/>
        </c:ser>
        <c:axId val="86041393"/>
        <c:axId val="7383316"/>
      </c:scatterChart>
      <c:valAx>
        <c:axId val="86041393"/>
        <c:scaling>
          <c:orientation val="minMax"/>
        </c:scaling>
        <c:delete val="0"/>
        <c:axPos val="b"/>
        <c:majorGridlines>
          <c:spPr>
            <a:ln w="9360">
              <a:solidFill>
                <a:srgbClr val="d9d9d9"/>
              </a:solidFill>
              <a:round/>
            </a:ln>
          </c:spPr>
        </c:majorGridlines>
        <c:title>
          <c:tx>
            <c:rich>
              <a:bodyPr rot="0"/>
              <a:lstStyle/>
              <a:p>
                <a:pPr>
                  <a:defRPr b="1" lang="pt-BR" sz="1000" spc="-1" strike="noStrike">
                    <a:solidFill>
                      <a:srgbClr val="595959"/>
                    </a:solidFill>
                    <a:latin typeface="Calibri"/>
                  </a:defRPr>
                </a:pPr>
                <a:r>
                  <a:rPr b="1" lang="pt-BR" sz="1000" spc="-1" strike="noStrike">
                    <a:solidFill>
                      <a:srgbClr val="595959"/>
                    </a:solidFill>
                    <a:latin typeface="Calibri"/>
                  </a:rPr>
                  <a:t>Avaliação do Auditor</a:t>
                </a:r>
              </a:p>
            </c:rich>
          </c:tx>
          <c:layout>
            <c:manualLayout>
              <c:xMode val="edge"/>
              <c:yMode val="edge"/>
              <c:x val="0.463890426120642"/>
              <c:y val="0.929742962056304"/>
            </c:manualLayout>
          </c:layout>
          <c:overlay val="0"/>
          <c:spPr>
            <a:noFill/>
            <a:ln w="0">
              <a:noFill/>
            </a:ln>
          </c:spPr>
        </c:title>
        <c:numFmt formatCode="0.00" sourceLinked="0"/>
        <c:majorTickMark val="none"/>
        <c:minorTickMark val="none"/>
        <c:tickLblPos val="nextTo"/>
        <c:spPr>
          <a:ln w="9360">
            <a:solidFill>
              <a:srgbClr val="bfbfbf"/>
            </a:solidFill>
            <a:round/>
          </a:ln>
        </c:spPr>
        <c:txPr>
          <a:bodyPr/>
          <a:lstStyle/>
          <a:p>
            <a:pPr>
              <a:defRPr b="0" sz="900" spc="-1" strike="noStrike">
                <a:solidFill>
                  <a:srgbClr val="595959"/>
                </a:solidFill>
                <a:latin typeface="Calibri"/>
              </a:defRPr>
            </a:pPr>
          </a:p>
        </c:txPr>
        <c:crossAx val="7383316"/>
        <c:crosses val="autoZero"/>
        <c:crossBetween val="midCat"/>
      </c:valAx>
      <c:valAx>
        <c:axId val="7383316"/>
        <c:scaling>
          <c:orientation val="minMax"/>
        </c:scaling>
        <c:delete val="0"/>
        <c:axPos val="l"/>
        <c:majorGridlines>
          <c:spPr>
            <a:ln w="9360">
              <a:solidFill>
                <a:srgbClr val="d9d9d9"/>
              </a:solidFill>
              <a:round/>
            </a:ln>
          </c:spPr>
        </c:majorGridlines>
        <c:title>
          <c:tx>
            <c:rich>
              <a:bodyPr rot="-5400000"/>
              <a:lstStyle/>
              <a:p>
                <a:pPr>
                  <a:defRPr b="1" lang="pt-BR" sz="1000" spc="-1" strike="noStrike">
                    <a:solidFill>
                      <a:srgbClr val="595959"/>
                    </a:solidFill>
                    <a:latin typeface="Calibri"/>
                  </a:defRPr>
                </a:pPr>
                <a:r>
                  <a:rPr b="1" lang="pt-BR" sz="1000" spc="-1" strike="noStrike">
                    <a:solidFill>
                      <a:srgbClr val="595959"/>
                    </a:solidFill>
                    <a:latin typeface="Calibri"/>
                  </a:rPr>
                  <a:t>OMI </a:t>
                </a:r>
              </a:p>
            </c:rich>
          </c:tx>
          <c:layout>
            <c:manualLayout>
              <c:xMode val="edge"/>
              <c:yMode val="edge"/>
              <c:x val="0.012174875484228"/>
              <c:y val="0.362668298653611"/>
            </c:manualLayout>
          </c:layout>
          <c:overlay val="0"/>
          <c:spPr>
            <a:noFill/>
            <a:ln w="0">
              <a:noFill/>
            </a:ln>
          </c:spPr>
        </c:title>
        <c:numFmt formatCode="0.00" sourceLinked="0"/>
        <c:majorTickMark val="none"/>
        <c:minorTickMark val="none"/>
        <c:tickLblPos val="nextTo"/>
        <c:spPr>
          <a:ln w="9360">
            <a:solidFill>
              <a:srgbClr val="bfbfbf"/>
            </a:solidFill>
            <a:round/>
          </a:ln>
        </c:spPr>
        <c:txPr>
          <a:bodyPr/>
          <a:lstStyle/>
          <a:p>
            <a:pPr>
              <a:defRPr b="0" sz="900" spc="-1" strike="noStrike">
                <a:solidFill>
                  <a:srgbClr val="595959"/>
                </a:solidFill>
                <a:latin typeface="Calibri"/>
              </a:defRPr>
            </a:pPr>
          </a:p>
        </c:txPr>
        <c:crossAx val="86041393"/>
        <c:crosses val="autoZero"/>
        <c:crossBetween val="midCat"/>
      </c:valAx>
      <c:spPr>
        <a:noFill/>
        <a:ln w="0">
          <a:noFill/>
        </a:ln>
      </c:spPr>
    </c:plotArea>
    <c:plotVisOnly val="1"/>
    <c:dispBlanksAs val="gap"/>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pt-BR" sz="1400" spc="-1" strike="noStrike">
                <a:solidFill>
                  <a:srgbClr val="595959"/>
                </a:solidFill>
                <a:latin typeface="Calibri"/>
              </a:defRPr>
            </a:pPr>
            <a:r>
              <a:rPr b="1" lang="pt-BR" sz="1400" spc="-1" strike="noStrike">
                <a:solidFill>
                  <a:srgbClr val="595959"/>
                </a:solidFill>
                <a:latin typeface="Calibri"/>
              </a:rPr>
              <a:t>Avaliação Casas</a:t>
            </a:r>
          </a:p>
        </c:rich>
      </c:tx>
      <c:overlay val="0"/>
      <c:spPr>
        <a:noFill/>
        <a:ln w="0">
          <a:noFill/>
        </a:ln>
      </c:spPr>
    </c:title>
    <c:autoTitleDeleted val="0"/>
    <c:plotArea>
      <c:layout>
        <c:manualLayout>
          <c:layoutTarget val="inner"/>
          <c:xMode val="edge"/>
          <c:yMode val="edge"/>
          <c:x val="0.18919932495781"/>
          <c:y val="0.148254767902123"/>
          <c:w val="0.747609225576599"/>
          <c:h val="0.724361281036344"/>
        </c:manualLayout>
      </c:layout>
      <c:scatterChart>
        <c:scatterStyle val="lineMarker"/>
        <c:varyColors val="0"/>
        <c:ser>
          <c:idx val="0"/>
          <c:order val="0"/>
          <c:tx>
            <c:strRef>
              <c:f>label 0</c:f>
              <c:strCache>
                <c:ptCount val="1"/>
                <c:pt idx="0">
                  <c:v>Série 2</c:v>
                </c:pt>
              </c:strCache>
            </c:strRef>
          </c:tx>
          <c:spPr>
            <a:solidFill>
              <a:srgbClr val="4f81bd"/>
            </a:solidFill>
            <a:ln w="38160">
              <a:noFill/>
            </a:ln>
          </c:spPr>
          <c:marker>
            <c:symbol val="circle"/>
            <c:size val="5"/>
            <c:spPr>
              <a:solidFill>
                <a:srgbClr val="4f81bd"/>
              </a:solidFill>
            </c:spPr>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trendline>
            <c:spPr>
              <a:ln cap="rnd" w="19080">
                <a:solidFill>
                  <a:srgbClr val="4f81bd"/>
                </a:solidFill>
                <a:prstDash val="sysDot"/>
                <a:round/>
              </a:ln>
            </c:spPr>
            <c:trendlineType val="linear"/>
            <c:forward val="0"/>
            <c:backward val="0"/>
            <c:dispRSqr val="1"/>
            <c:dispEq val="1"/>
          </c:trendline>
          <c:xVal>
            <c:numRef>
              <c:f>1</c:f>
              <c:numCache>
                <c:formatCode>General</c:formatCode>
                <c:ptCount val="112"/>
                <c:pt idx="0">
                  <c:v>230480</c:v>
                </c:pt>
                <c:pt idx="1">
                  <c:v>220000</c:v>
                </c:pt>
                <c:pt idx="2">
                  <c:v>190000</c:v>
                </c:pt>
                <c:pt idx="3">
                  <c:v>1000000</c:v>
                </c:pt>
                <c:pt idx="4">
                  <c:v>124747.04</c:v>
                </c:pt>
                <c:pt idx="5">
                  <c:v>550000</c:v>
                </c:pt>
                <c:pt idx="6">
                  <c:v>353485.17</c:v>
                </c:pt>
                <c:pt idx="7">
                  <c:v>200000</c:v>
                </c:pt>
                <c:pt idx="8">
                  <c:v>157746.83</c:v>
                </c:pt>
                <c:pt idx="9">
                  <c:v>280000</c:v>
                </c:pt>
                <c:pt idx="10">
                  <c:v>750000</c:v>
                </c:pt>
                <c:pt idx="11">
                  <c:v>200000</c:v>
                </c:pt>
                <c:pt idx="12">
                  <c:v>130000</c:v>
                </c:pt>
                <c:pt idx="13">
                  <c:v>2710600</c:v>
                </c:pt>
                <c:pt idx="14">
                  <c:v>220400</c:v>
                </c:pt>
                <c:pt idx="15">
                  <c:v>250000</c:v>
                </c:pt>
                <c:pt idx="16">
                  <c:v>337268.16</c:v>
                </c:pt>
                <c:pt idx="17">
                  <c:v>180921.45</c:v>
                </c:pt>
                <c:pt idx="18">
                  <c:v>400000</c:v>
                </c:pt>
                <c:pt idx="19">
                  <c:v>4500000</c:v>
                </c:pt>
                <c:pt idx="20">
                  <c:v>150000</c:v>
                </c:pt>
                <c:pt idx="21">
                  <c:v>490000</c:v>
                </c:pt>
                <c:pt idx="22">
                  <c:v>315000</c:v>
                </c:pt>
                <c:pt idx="23">
                  <c:v>200000</c:v>
                </c:pt>
                <c:pt idx="24">
                  <c:v>1312000</c:v>
                </c:pt>
                <c:pt idx="25">
                  <c:v>595300</c:v>
                </c:pt>
                <c:pt idx="26">
                  <c:v>128920</c:v>
                </c:pt>
                <c:pt idx="27">
                  <c:v>105585.52</c:v>
                </c:pt>
                <c:pt idx="28">
                  <c:v>937170</c:v>
                </c:pt>
                <c:pt idx="29">
                  <c:v>5090019.1</c:v>
                </c:pt>
                <c:pt idx="30">
                  <c:v>264734.64</c:v>
                </c:pt>
                <c:pt idx="31">
                  <c:v>200000</c:v>
                </c:pt>
                <c:pt idx="32">
                  <c:v>162709.74</c:v>
                </c:pt>
                <c:pt idx="33">
                  <c:v>856000</c:v>
                </c:pt>
                <c:pt idx="34">
                  <c:v>682000</c:v>
                </c:pt>
                <c:pt idx="35">
                  <c:v>250000</c:v>
                </c:pt>
                <c:pt idx="36">
                  <c:v>167973.77</c:v>
                </c:pt>
                <c:pt idx="37">
                  <c:v>169000</c:v>
                </c:pt>
                <c:pt idx="38">
                  <c:v>1845900</c:v>
                </c:pt>
                <c:pt idx="39">
                  <c:v>3934980</c:v>
                </c:pt>
                <c:pt idx="40">
                  <c:v>3000000</c:v>
                </c:pt>
                <c:pt idx="41">
                  <c:v>250000</c:v>
                </c:pt>
                <c:pt idx="42">
                  <c:v>1000000</c:v>
                </c:pt>
                <c:pt idx="43">
                  <c:v>667350</c:v>
                </c:pt>
                <c:pt idx="44">
                  <c:v>492579.77</c:v>
                </c:pt>
                <c:pt idx="45">
                  <c:v>171330.09</c:v>
                </c:pt>
                <c:pt idx="46">
                  <c:v>143504.21</c:v>
                </c:pt>
                <c:pt idx="47">
                  <c:v>398000</c:v>
                </c:pt>
                <c:pt idx="48">
                  <c:v>593803.71</c:v>
                </c:pt>
                <c:pt idx="49">
                  <c:v>226638.69</c:v>
                </c:pt>
                <c:pt idx="50">
                  <c:v>93942.13</c:v>
                </c:pt>
                <c:pt idx="51">
                  <c:v>1086732.67</c:v>
                </c:pt>
                <c:pt idx="52">
                  <c:v>350000</c:v>
                </c:pt>
                <c:pt idx="53">
                  <c:v>165301.24</c:v>
                </c:pt>
                <c:pt idx="54">
                  <c:v>4500000</c:v>
                </c:pt>
                <c:pt idx="55">
                  <c:v>180000</c:v>
                </c:pt>
                <c:pt idx="56">
                  <c:v>127821.82</c:v>
                </c:pt>
                <c:pt idx="57">
                  <c:v>234727.83</c:v>
                </c:pt>
                <c:pt idx="58">
                  <c:v>450000</c:v>
                </c:pt>
                <c:pt idx="59">
                  <c:v>2534761</c:v>
                </c:pt>
                <c:pt idx="60">
                  <c:v>180700</c:v>
                </c:pt>
                <c:pt idx="61">
                  <c:v>121921</c:v>
                </c:pt>
                <c:pt idx="62">
                  <c:v>1200000</c:v>
                </c:pt>
                <c:pt idx="63">
                  <c:v>163517</c:v>
                </c:pt>
                <c:pt idx="64">
                  <c:v>5968594.57</c:v>
                </c:pt>
                <c:pt idx="65">
                  <c:v>660764</c:v>
                </c:pt>
                <c:pt idx="66">
                  <c:v>1500000</c:v>
                </c:pt>
                <c:pt idx="67">
                  <c:v>2478719.34</c:v>
                </c:pt>
                <c:pt idx="68">
                  <c:v>950101.54</c:v>
                </c:pt>
                <c:pt idx="69">
                  <c:v>6201453.26</c:v>
                </c:pt>
                <c:pt idx="70">
                  <c:v>600000</c:v>
                </c:pt>
                <c:pt idx="71">
                  <c:v>225700</c:v>
                </c:pt>
                <c:pt idx="72">
                  <c:v>213000</c:v>
                </c:pt>
                <c:pt idx="73">
                  <c:v>176000</c:v>
                </c:pt>
                <c:pt idx="74">
                  <c:v>240000</c:v>
                </c:pt>
                <c:pt idx="75">
                  <c:v>187000</c:v>
                </c:pt>
                <c:pt idx="76">
                  <c:v>450000</c:v>
                </c:pt>
                <c:pt idx="77">
                  <c:v>235000</c:v>
                </c:pt>
                <c:pt idx="78">
                  <c:v>288600</c:v>
                </c:pt>
                <c:pt idx="79">
                  <c:v>250000</c:v>
                </c:pt>
                <c:pt idx="80">
                  <c:v>185000</c:v>
                </c:pt>
                <c:pt idx="81">
                  <c:v>248500</c:v>
                </c:pt>
                <c:pt idx="82">
                  <c:v>343000</c:v>
                </c:pt>
                <c:pt idx="83">
                  <c:v>320000</c:v>
                </c:pt>
                <c:pt idx="84">
                  <c:v>250000</c:v>
                </c:pt>
                <c:pt idx="85">
                  <c:v>250000</c:v>
                </c:pt>
                <c:pt idx="86">
                  <c:v>140764.93</c:v>
                </c:pt>
                <c:pt idx="87">
                  <c:v>193000</c:v>
                </c:pt>
                <c:pt idx="88">
                  <c:v>250000</c:v>
                </c:pt>
                <c:pt idx="89">
                  <c:v>1100000</c:v>
                </c:pt>
                <c:pt idx="90">
                  <c:v>410211.65</c:v>
                </c:pt>
                <c:pt idx="91">
                  <c:v>250000</c:v>
                </c:pt>
                <c:pt idx="92">
                  <c:v>542858.58</c:v>
                </c:pt>
                <c:pt idx="93">
                  <c:v>250000</c:v>
                </c:pt>
                <c:pt idx="94">
                  <c:v>195000</c:v>
                </c:pt>
                <c:pt idx="95">
                  <c:v>450000</c:v>
                </c:pt>
                <c:pt idx="96">
                  <c:v>2250000</c:v>
                </c:pt>
                <c:pt idx="97">
                  <c:v>500000</c:v>
                </c:pt>
                <c:pt idx="98">
                  <c:v>150702.14</c:v>
                </c:pt>
                <c:pt idx="99">
                  <c:v>398000</c:v>
                </c:pt>
                <c:pt idx="100">
                  <c:v>250000</c:v>
                </c:pt>
                <c:pt idx="101">
                  <c:v>270000</c:v>
                </c:pt>
                <c:pt idx="102">
                  <c:v>355000</c:v>
                </c:pt>
                <c:pt idx="103">
                  <c:v>190000</c:v>
                </c:pt>
                <c:pt idx="104">
                  <c:v>205000</c:v>
                </c:pt>
                <c:pt idx="105">
                  <c:v>368195.69</c:v>
                </c:pt>
                <c:pt idx="106">
                  <c:v>682000</c:v>
                </c:pt>
                <c:pt idx="107">
                  <c:v>836000</c:v>
                </c:pt>
                <c:pt idx="108">
                  <c:v>782000</c:v>
                </c:pt>
                <c:pt idx="109">
                  <c:v>1380000</c:v>
                </c:pt>
                <c:pt idx="110">
                  <c:v>429124.36</c:v>
                </c:pt>
                <c:pt idx="111">
                  <c:v>200000</c:v>
                </c:pt>
              </c:numCache>
            </c:numRef>
          </c:xVal>
          <c:yVal>
            <c:numRef>
              <c:f>0</c:f>
              <c:numCache>
                <c:formatCode>General</c:formatCode>
                <c:ptCount val="112"/>
                <c:pt idx="0">
                  <c:v>469662.32</c:v>
                </c:pt>
                <c:pt idx="1">
                  <c:v>217901.27</c:v>
                </c:pt>
                <c:pt idx="2">
                  <c:v>170050.6</c:v>
                </c:pt>
                <c:pt idx="3">
                  <c:v>1817796.56</c:v>
                </c:pt>
                <c:pt idx="4">
                  <c:v>184211.87</c:v>
                </c:pt>
                <c:pt idx="5">
                  <c:v>1063816.34</c:v>
                </c:pt>
                <c:pt idx="6">
                  <c:v>582766.92</c:v>
                </c:pt>
                <c:pt idx="7">
                  <c:v>281051.78</c:v>
                </c:pt>
                <c:pt idx="8">
                  <c:v>208666.87</c:v>
                </c:pt>
                <c:pt idx="9">
                  <c:v>497358.48</c:v>
                </c:pt>
                <c:pt idx="10">
                  <c:v>959097.79</c:v>
                </c:pt>
                <c:pt idx="11">
                  <c:v>277623.22</c:v>
                </c:pt>
                <c:pt idx="12">
                  <c:v>103645.46</c:v>
                </c:pt>
                <c:pt idx="13">
                  <c:v>1909401.84</c:v>
                </c:pt>
                <c:pt idx="14">
                  <c:v>178917.09</c:v>
                </c:pt>
                <c:pt idx="15">
                  <c:v>260643.41</c:v>
                </c:pt>
                <c:pt idx="16">
                  <c:v>488968.26</c:v>
                </c:pt>
                <c:pt idx="17">
                  <c:v>324261</c:v>
                </c:pt>
                <c:pt idx="18">
                  <c:v>353455.34</c:v>
                </c:pt>
                <c:pt idx="19">
                  <c:v>6957397.78</c:v>
                </c:pt>
                <c:pt idx="20">
                  <c:v>225971.98</c:v>
                </c:pt>
                <c:pt idx="21">
                  <c:v>409569.28</c:v>
                </c:pt>
                <c:pt idx="22">
                  <c:v>637750.84</c:v>
                </c:pt>
                <c:pt idx="23">
                  <c:v>720403.48</c:v>
                </c:pt>
                <c:pt idx="24">
                  <c:v>242957.96</c:v>
                </c:pt>
                <c:pt idx="25">
                  <c:v>318007.76</c:v>
                </c:pt>
                <c:pt idx="26">
                  <c:v>343337.38</c:v>
                </c:pt>
                <c:pt idx="27">
                  <c:v>321564.71</c:v>
                </c:pt>
                <c:pt idx="28">
                  <c:v>678929.77</c:v>
                </c:pt>
                <c:pt idx="29">
                  <c:v>5997676.28</c:v>
                </c:pt>
                <c:pt idx="30">
                  <c:v>331089.31</c:v>
                </c:pt>
                <c:pt idx="31">
                  <c:v>241243.07</c:v>
                </c:pt>
                <c:pt idx="32">
                  <c:v>304915.44</c:v>
                </c:pt>
                <c:pt idx="33">
                  <c:v>531422.75</c:v>
                </c:pt>
                <c:pt idx="34">
                  <c:v>392163.43</c:v>
                </c:pt>
                <c:pt idx="35">
                  <c:v>200635.2</c:v>
                </c:pt>
                <c:pt idx="36">
                  <c:v>251290.16</c:v>
                </c:pt>
                <c:pt idx="37">
                  <c:v>160489.01</c:v>
                </c:pt>
                <c:pt idx="38">
                  <c:v>1372397.42</c:v>
                </c:pt>
                <c:pt idx="39">
                  <c:v>2650364.43</c:v>
                </c:pt>
                <c:pt idx="40">
                  <c:v>1242982.82</c:v>
                </c:pt>
                <c:pt idx="41">
                  <c:v>254357.11</c:v>
                </c:pt>
                <c:pt idx="42">
                  <c:v>771761.71</c:v>
                </c:pt>
                <c:pt idx="43">
                  <c:v>657307.56</c:v>
                </c:pt>
                <c:pt idx="44">
                  <c:v>1201058.27</c:v>
                </c:pt>
                <c:pt idx="45">
                  <c:v>314077.12</c:v>
                </c:pt>
                <c:pt idx="46">
                  <c:v>203239.12</c:v>
                </c:pt>
                <c:pt idx="47">
                  <c:v>339324.84</c:v>
                </c:pt>
                <c:pt idx="48">
                  <c:v>988694.85</c:v>
                </c:pt>
                <c:pt idx="49">
                  <c:v>582279.13</c:v>
                </c:pt>
                <c:pt idx="50">
                  <c:v>235770.82</c:v>
                </c:pt>
                <c:pt idx="51">
                  <c:v>1972490.67</c:v>
                </c:pt>
                <c:pt idx="52">
                  <c:v>342639.16</c:v>
                </c:pt>
                <c:pt idx="53">
                  <c:v>281224.05</c:v>
                </c:pt>
                <c:pt idx="54">
                  <c:v>2445123.46</c:v>
                </c:pt>
                <c:pt idx="55">
                  <c:v>156408.85</c:v>
                </c:pt>
                <c:pt idx="56">
                  <c:v>196664.57</c:v>
                </c:pt>
                <c:pt idx="57">
                  <c:v>174168.12</c:v>
                </c:pt>
                <c:pt idx="58">
                  <c:v>569629.99</c:v>
                </c:pt>
                <c:pt idx="59">
                  <c:v>1528993.61</c:v>
                </c:pt>
                <c:pt idx="60">
                  <c:v>125237.33</c:v>
                </c:pt>
                <c:pt idx="61">
                  <c:v>273668.35</c:v>
                </c:pt>
                <c:pt idx="62">
                  <c:v>1065549.8</c:v>
                </c:pt>
                <c:pt idx="63">
                  <c:v>205200.56</c:v>
                </c:pt>
                <c:pt idx="64">
                  <c:v>4669511.05</c:v>
                </c:pt>
                <c:pt idx="65">
                  <c:v>756638.46</c:v>
                </c:pt>
                <c:pt idx="66">
                  <c:v>1124732.44</c:v>
                </c:pt>
                <c:pt idx="67">
                  <c:v>1741484.65</c:v>
                </c:pt>
                <c:pt idx="68">
                  <c:v>919980.98</c:v>
                </c:pt>
                <c:pt idx="69">
                  <c:v>17078461.1</c:v>
                </c:pt>
                <c:pt idx="70">
                  <c:v>662685.62</c:v>
                </c:pt>
                <c:pt idx="71">
                  <c:v>311249.79</c:v>
                </c:pt>
                <c:pt idx="72">
                  <c:v>272242.21</c:v>
                </c:pt>
                <c:pt idx="73">
                  <c:v>170945.07</c:v>
                </c:pt>
                <c:pt idx="74">
                  <c:v>301532.87</c:v>
                </c:pt>
                <c:pt idx="75">
                  <c:v>299823.23</c:v>
                </c:pt>
                <c:pt idx="76">
                  <c:v>166697.65</c:v>
                </c:pt>
                <c:pt idx="77">
                  <c:v>231571.58</c:v>
                </c:pt>
                <c:pt idx="78">
                  <c:v>440315.34</c:v>
                </c:pt>
                <c:pt idx="79">
                  <c:v>339922.44</c:v>
                </c:pt>
                <c:pt idx="80">
                  <c:v>98230.28</c:v>
                </c:pt>
                <c:pt idx="81">
                  <c:v>204419.78</c:v>
                </c:pt>
                <c:pt idx="82">
                  <c:v>220406.95</c:v>
                </c:pt>
                <c:pt idx="83">
                  <c:v>306952.24</c:v>
                </c:pt>
                <c:pt idx="84">
                  <c:v>340950.44</c:v>
                </c:pt>
                <c:pt idx="85">
                  <c:v>309555.12</c:v>
                </c:pt>
                <c:pt idx="86">
                  <c:v>182202.2</c:v>
                </c:pt>
                <c:pt idx="87">
                  <c:v>180026.87</c:v>
                </c:pt>
                <c:pt idx="88">
                  <c:v>217526.67</c:v>
                </c:pt>
                <c:pt idx="89">
                  <c:v>929382.79</c:v>
                </c:pt>
                <c:pt idx="90">
                  <c:v>465491.63</c:v>
                </c:pt>
                <c:pt idx="91">
                  <c:v>206637.55</c:v>
                </c:pt>
                <c:pt idx="92">
                  <c:v>535224.01</c:v>
                </c:pt>
                <c:pt idx="93">
                  <c:v>294883.55</c:v>
                </c:pt>
                <c:pt idx="94">
                  <c:v>250278.86</c:v>
                </c:pt>
                <c:pt idx="95">
                  <c:v>319532.65</c:v>
                </c:pt>
                <c:pt idx="96">
                  <c:v>2353651.78</c:v>
                </c:pt>
                <c:pt idx="97">
                  <c:v>580252.76</c:v>
                </c:pt>
                <c:pt idx="98">
                  <c:v>187232.29</c:v>
                </c:pt>
                <c:pt idx="99">
                  <c:v>339324.84</c:v>
                </c:pt>
                <c:pt idx="100">
                  <c:v>179245.26</c:v>
                </c:pt>
                <c:pt idx="101">
                  <c:v>415476.2</c:v>
                </c:pt>
                <c:pt idx="102">
                  <c:v>353455.34</c:v>
                </c:pt>
                <c:pt idx="103">
                  <c:v>246781.55</c:v>
                </c:pt>
                <c:pt idx="104">
                  <c:v>344199.1</c:v>
                </c:pt>
                <c:pt idx="105">
                  <c:v>611591.69</c:v>
                </c:pt>
                <c:pt idx="106">
                  <c:v>392163.43</c:v>
                </c:pt>
                <c:pt idx="107">
                  <c:v>607769.88</c:v>
                </c:pt>
                <c:pt idx="108">
                  <c:v>474883.77</c:v>
                </c:pt>
                <c:pt idx="109">
                  <c:v>981971.07</c:v>
                </c:pt>
                <c:pt idx="110">
                  <c:v>565084.39</c:v>
                </c:pt>
                <c:pt idx="111">
                  <c:v>241243.07</c:v>
                </c:pt>
              </c:numCache>
            </c:numRef>
          </c:yVal>
          <c:smooth val="0"/>
        </c:ser>
        <c:axId val="52725044"/>
        <c:axId val="97335705"/>
      </c:scatterChart>
      <c:valAx>
        <c:axId val="52725044"/>
        <c:scaling>
          <c:orientation val="minMax"/>
        </c:scaling>
        <c:delete val="0"/>
        <c:axPos val="b"/>
        <c:majorGridlines>
          <c:spPr>
            <a:ln w="9360">
              <a:solidFill>
                <a:srgbClr val="d9d9d9"/>
              </a:solidFill>
              <a:round/>
            </a:ln>
          </c:spPr>
        </c:majorGridlines>
        <c:title>
          <c:tx>
            <c:rich>
              <a:bodyPr rot="0"/>
              <a:lstStyle/>
              <a:p>
                <a:pPr>
                  <a:defRPr b="0" lang="pt-BR" sz="1000" spc="-1" strike="noStrike">
                    <a:solidFill>
                      <a:srgbClr val="595959"/>
                    </a:solidFill>
                    <a:latin typeface="Calibri"/>
                  </a:defRPr>
                </a:pPr>
                <a:r>
                  <a:rPr b="0" lang="pt-BR" sz="1000" spc="-1" strike="noStrike">
                    <a:solidFill>
                      <a:srgbClr val="595959"/>
                    </a:solidFill>
                    <a:latin typeface="Calibri"/>
                  </a:rPr>
                  <a:t>Avaliação do Auditor</a:t>
                </a:r>
              </a:p>
            </c:rich>
          </c:tx>
          <c:layout>
            <c:manualLayout>
              <c:xMode val="edge"/>
              <c:yMode val="edge"/>
              <c:x val="0.466216638539909"/>
              <c:y val="0.913997840949982"/>
            </c:manualLayout>
          </c:layout>
          <c:overlay val="0"/>
          <c:spPr>
            <a:noFill/>
            <a:ln w="0">
              <a:noFill/>
            </a:ln>
          </c:spPr>
        </c:title>
        <c:numFmt formatCode="0.00" sourceLinked="0"/>
        <c:majorTickMark val="none"/>
        <c:minorTickMark val="none"/>
        <c:tickLblPos val="nextTo"/>
        <c:spPr>
          <a:ln w="9360">
            <a:solidFill>
              <a:srgbClr val="bfbfbf"/>
            </a:solidFill>
            <a:round/>
          </a:ln>
        </c:spPr>
        <c:txPr>
          <a:bodyPr/>
          <a:lstStyle/>
          <a:p>
            <a:pPr>
              <a:defRPr b="0" sz="900" spc="-1" strike="noStrike">
                <a:solidFill>
                  <a:srgbClr val="595959"/>
                </a:solidFill>
                <a:latin typeface="Calibri"/>
              </a:defRPr>
            </a:pPr>
          </a:p>
        </c:txPr>
        <c:crossAx val="97335705"/>
        <c:crosses val="autoZero"/>
        <c:crossBetween val="midCat"/>
      </c:valAx>
      <c:valAx>
        <c:axId val="97335705"/>
        <c:scaling>
          <c:orientation val="minMax"/>
        </c:scaling>
        <c:delete val="0"/>
        <c:axPos val="l"/>
        <c:majorGridlines>
          <c:spPr>
            <a:ln w="9360">
              <a:solidFill>
                <a:srgbClr val="d9d9d9"/>
              </a:solidFill>
              <a:round/>
            </a:ln>
          </c:spPr>
        </c:majorGridlines>
        <c:title>
          <c:tx>
            <c:rich>
              <a:bodyPr rot="-5400000"/>
              <a:lstStyle/>
              <a:p>
                <a:pPr>
                  <a:defRPr b="0" lang="pt-BR" sz="1000" spc="-1" strike="noStrike">
                    <a:solidFill>
                      <a:srgbClr val="595959"/>
                    </a:solidFill>
                    <a:latin typeface="Calibri"/>
                  </a:defRPr>
                </a:pPr>
                <a:r>
                  <a:rPr b="0" lang="pt-BR" sz="1000" spc="-1" strike="noStrike">
                    <a:solidFill>
                      <a:srgbClr val="595959"/>
                    </a:solidFill>
                    <a:latin typeface="Calibri"/>
                  </a:rPr>
                  <a:t>OMI 04/05/26</a:t>
                </a:r>
              </a:p>
            </c:rich>
          </c:tx>
          <c:overlay val="0"/>
          <c:spPr>
            <a:noFill/>
            <a:ln w="0">
              <a:noFill/>
            </a:ln>
          </c:spPr>
        </c:title>
        <c:numFmt formatCode="0.00" sourceLinked="0"/>
        <c:majorTickMark val="none"/>
        <c:minorTickMark val="none"/>
        <c:tickLblPos val="nextTo"/>
        <c:spPr>
          <a:ln w="9360">
            <a:solidFill>
              <a:srgbClr val="bfbfbf"/>
            </a:solidFill>
            <a:round/>
          </a:ln>
        </c:spPr>
        <c:txPr>
          <a:bodyPr/>
          <a:lstStyle/>
          <a:p>
            <a:pPr>
              <a:defRPr b="0" sz="900" spc="-1" strike="noStrike">
                <a:solidFill>
                  <a:srgbClr val="595959"/>
                </a:solidFill>
                <a:latin typeface="Calibri"/>
              </a:defRPr>
            </a:pPr>
          </a:p>
        </c:txPr>
        <c:crossAx val="52725044"/>
        <c:crosses val="autoZero"/>
        <c:crossBetween val="midCat"/>
      </c:valAx>
      <c:spPr>
        <a:noFill/>
        <a:ln w="0">
          <a:noFill/>
        </a:ln>
      </c:spPr>
    </c:plotArea>
    <c:plotVisOnly val="1"/>
    <c:dispBlanksAs val="gap"/>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en-US" sz="1400" spc="-1" strike="noStrike">
                <a:solidFill>
                  <a:srgbClr val="595959"/>
                </a:solidFill>
                <a:latin typeface="Calibri"/>
              </a:defRPr>
            </a:pPr>
            <a:r>
              <a:rPr b="1" lang="en-US" sz="1400" spc="-1" strike="noStrike">
                <a:solidFill>
                  <a:srgbClr val="595959"/>
                </a:solidFill>
                <a:latin typeface="Calibri"/>
              </a:rPr>
              <a:t>Avaliação Apartamentos/Salas</a:t>
            </a:r>
          </a:p>
        </c:rich>
      </c:tx>
      <c:overlay val="0"/>
      <c:spPr>
        <a:noFill/>
        <a:ln w="0">
          <a:noFill/>
        </a:ln>
      </c:spPr>
    </c:title>
    <c:autoTitleDeleted val="0"/>
    <c:plotArea>
      <c:scatterChart>
        <c:scatterStyle val="lineMarker"/>
        <c:varyColors val="0"/>
        <c:ser>
          <c:idx val="0"/>
          <c:order val="0"/>
          <c:tx>
            <c:strRef>
              <c:f>label 0</c:f>
              <c:strCache>
                <c:ptCount val="1"/>
                <c:pt idx="0">
                  <c:v>OMI (04/05/26)</c:v>
                </c:pt>
              </c:strCache>
            </c:strRef>
          </c:tx>
          <c:spPr>
            <a:solidFill>
              <a:srgbClr val="4f81bd"/>
            </a:solidFill>
            <a:ln w="38160">
              <a:noFill/>
            </a:ln>
          </c:spPr>
          <c:marker>
            <c:symbol val="circle"/>
            <c:size val="5"/>
            <c:spPr>
              <a:solidFill>
                <a:srgbClr val="4f81bd"/>
              </a:solidFill>
            </c:spPr>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trendline>
            <c:spPr>
              <a:ln cap="rnd" w="19080">
                <a:solidFill>
                  <a:srgbClr val="4f81bd"/>
                </a:solidFill>
                <a:prstDash val="sysDot"/>
                <a:round/>
              </a:ln>
            </c:spPr>
            <c:trendlineType val="linear"/>
            <c:forward val="0"/>
            <c:backward val="0"/>
            <c:dispRSqr val="1"/>
            <c:dispEq val="1"/>
          </c:trendline>
          <c:xVal>
            <c:numRef>
              <c:f>1</c:f>
              <c:numCache>
                <c:formatCode>General</c:formatCode>
                <c:ptCount val="184"/>
                <c:pt idx="0">
                  <c:v>115100</c:v>
                </c:pt>
                <c:pt idx="1">
                  <c:v>240000</c:v>
                </c:pt>
                <c:pt idx="2">
                  <c:v>233400</c:v>
                </c:pt>
                <c:pt idx="3">
                  <c:v>1000000</c:v>
                </c:pt>
                <c:pt idx="4">
                  <c:v>732600</c:v>
                </c:pt>
                <c:pt idx="5">
                  <c:v>400000</c:v>
                </c:pt>
                <c:pt idx="6">
                  <c:v>241555.92</c:v>
                </c:pt>
                <c:pt idx="7">
                  <c:v>220000</c:v>
                </c:pt>
                <c:pt idx="8">
                  <c:v>200000</c:v>
                </c:pt>
                <c:pt idx="9">
                  <c:v>150000</c:v>
                </c:pt>
                <c:pt idx="10">
                  <c:v>222000</c:v>
                </c:pt>
                <c:pt idx="11">
                  <c:v>600000</c:v>
                </c:pt>
                <c:pt idx="12">
                  <c:v>200000</c:v>
                </c:pt>
                <c:pt idx="13">
                  <c:v>630000</c:v>
                </c:pt>
                <c:pt idx="14">
                  <c:v>150000</c:v>
                </c:pt>
                <c:pt idx="15">
                  <c:v>320231.41</c:v>
                </c:pt>
                <c:pt idx="16">
                  <c:v>259400</c:v>
                </c:pt>
                <c:pt idx="17">
                  <c:v>420000</c:v>
                </c:pt>
                <c:pt idx="18">
                  <c:v>370000</c:v>
                </c:pt>
                <c:pt idx="19">
                  <c:v>264000</c:v>
                </c:pt>
                <c:pt idx="20">
                  <c:v>292000</c:v>
                </c:pt>
                <c:pt idx="21">
                  <c:v>240300</c:v>
                </c:pt>
                <c:pt idx="22">
                  <c:v>240300</c:v>
                </c:pt>
                <c:pt idx="23">
                  <c:v>264000</c:v>
                </c:pt>
                <c:pt idx="24">
                  <c:v>150000</c:v>
                </c:pt>
                <c:pt idx="25">
                  <c:v>173564.83</c:v>
                </c:pt>
                <c:pt idx="26">
                  <c:v>304400</c:v>
                </c:pt>
                <c:pt idx="27">
                  <c:v>176000</c:v>
                </c:pt>
                <c:pt idx="28">
                  <c:v>222000</c:v>
                </c:pt>
                <c:pt idx="29">
                  <c:v>272900</c:v>
                </c:pt>
                <c:pt idx="30">
                  <c:v>220000</c:v>
                </c:pt>
                <c:pt idx="31">
                  <c:v>510000</c:v>
                </c:pt>
                <c:pt idx="32">
                  <c:v>266000</c:v>
                </c:pt>
                <c:pt idx="33">
                  <c:v>244611.85</c:v>
                </c:pt>
                <c:pt idx="34">
                  <c:v>200000</c:v>
                </c:pt>
                <c:pt idx="35">
                  <c:v>315000</c:v>
                </c:pt>
                <c:pt idx="36">
                  <c:v>346300</c:v>
                </c:pt>
                <c:pt idx="37">
                  <c:v>311800</c:v>
                </c:pt>
                <c:pt idx="38">
                  <c:v>200000</c:v>
                </c:pt>
                <c:pt idx="39">
                  <c:v>220000</c:v>
                </c:pt>
                <c:pt idx="40">
                  <c:v>226750</c:v>
                </c:pt>
                <c:pt idx="41">
                  <c:v>220000</c:v>
                </c:pt>
                <c:pt idx="42">
                  <c:v>228750</c:v>
                </c:pt>
                <c:pt idx="43">
                  <c:v>228750</c:v>
                </c:pt>
                <c:pt idx="44">
                  <c:v>220000</c:v>
                </c:pt>
                <c:pt idx="45">
                  <c:v>184700.88</c:v>
                </c:pt>
                <c:pt idx="46">
                  <c:v>420000</c:v>
                </c:pt>
                <c:pt idx="47">
                  <c:v>467910</c:v>
                </c:pt>
                <c:pt idx="48">
                  <c:v>239429.36</c:v>
                </c:pt>
                <c:pt idx="49">
                  <c:v>763650</c:v>
                </c:pt>
                <c:pt idx="50">
                  <c:v>136757.19</c:v>
                </c:pt>
                <c:pt idx="51">
                  <c:v>170000</c:v>
                </c:pt>
                <c:pt idx="52">
                  <c:v>234814.53</c:v>
                </c:pt>
                <c:pt idx="53">
                  <c:v>345700</c:v>
                </c:pt>
                <c:pt idx="54">
                  <c:v>178740</c:v>
                </c:pt>
                <c:pt idx="55">
                  <c:v>200238.16</c:v>
                </c:pt>
                <c:pt idx="56">
                  <c:v>214830</c:v>
                </c:pt>
                <c:pt idx="57">
                  <c:v>171450</c:v>
                </c:pt>
                <c:pt idx="58">
                  <c:v>215000</c:v>
                </c:pt>
                <c:pt idx="59">
                  <c:v>290000</c:v>
                </c:pt>
                <c:pt idx="60">
                  <c:v>809900</c:v>
                </c:pt>
                <c:pt idx="61">
                  <c:v>124600</c:v>
                </c:pt>
                <c:pt idx="62">
                  <c:v>231287</c:v>
                </c:pt>
                <c:pt idx="63">
                  <c:v>467910</c:v>
                </c:pt>
                <c:pt idx="64">
                  <c:v>220000</c:v>
                </c:pt>
                <c:pt idx="65">
                  <c:v>280000</c:v>
                </c:pt>
                <c:pt idx="66">
                  <c:v>252500</c:v>
                </c:pt>
                <c:pt idx="67">
                  <c:v>467910</c:v>
                </c:pt>
                <c:pt idx="68">
                  <c:v>38775.47</c:v>
                </c:pt>
                <c:pt idx="69">
                  <c:v>259400</c:v>
                </c:pt>
                <c:pt idx="70">
                  <c:v>220000</c:v>
                </c:pt>
                <c:pt idx="71">
                  <c:v>135000</c:v>
                </c:pt>
                <c:pt idx="72">
                  <c:v>525000</c:v>
                </c:pt>
                <c:pt idx="73">
                  <c:v>1530180</c:v>
                </c:pt>
                <c:pt idx="74">
                  <c:v>431300</c:v>
                </c:pt>
                <c:pt idx="75">
                  <c:v>233400</c:v>
                </c:pt>
                <c:pt idx="76">
                  <c:v>170000</c:v>
                </c:pt>
                <c:pt idx="77">
                  <c:v>150000</c:v>
                </c:pt>
                <c:pt idx="78">
                  <c:v>226654.37</c:v>
                </c:pt>
                <c:pt idx="79">
                  <c:v>178090.49</c:v>
                </c:pt>
                <c:pt idx="80">
                  <c:v>259009.57</c:v>
                </c:pt>
                <c:pt idx="81">
                  <c:v>306810</c:v>
                </c:pt>
                <c:pt idx="82">
                  <c:v>232388.14</c:v>
                </c:pt>
                <c:pt idx="83">
                  <c:v>694890</c:v>
                </c:pt>
                <c:pt idx="84">
                  <c:v>268020</c:v>
                </c:pt>
                <c:pt idx="85">
                  <c:v>382610.41</c:v>
                </c:pt>
                <c:pt idx="86">
                  <c:v>115000</c:v>
                </c:pt>
                <c:pt idx="87">
                  <c:v>140000</c:v>
                </c:pt>
                <c:pt idx="88">
                  <c:v>333818.63</c:v>
                </c:pt>
                <c:pt idx="89">
                  <c:v>136000</c:v>
                </c:pt>
                <c:pt idx="90">
                  <c:v>1000000</c:v>
                </c:pt>
                <c:pt idx="91">
                  <c:v>415000</c:v>
                </c:pt>
                <c:pt idx="92">
                  <c:v>360000</c:v>
                </c:pt>
                <c:pt idx="93">
                  <c:v>700000</c:v>
                </c:pt>
                <c:pt idx="94">
                  <c:v>306600</c:v>
                </c:pt>
                <c:pt idx="95">
                  <c:v>310000</c:v>
                </c:pt>
                <c:pt idx="96">
                  <c:v>1200000</c:v>
                </c:pt>
                <c:pt idx="97">
                  <c:v>168000</c:v>
                </c:pt>
                <c:pt idx="98">
                  <c:v>750000</c:v>
                </c:pt>
                <c:pt idx="99">
                  <c:v>250000</c:v>
                </c:pt>
                <c:pt idx="100">
                  <c:v>170000</c:v>
                </c:pt>
                <c:pt idx="101">
                  <c:v>950000</c:v>
                </c:pt>
                <c:pt idx="102">
                  <c:v>775700</c:v>
                </c:pt>
                <c:pt idx="103">
                  <c:v>235000</c:v>
                </c:pt>
                <c:pt idx="104">
                  <c:v>525085</c:v>
                </c:pt>
                <c:pt idx="105">
                  <c:v>350405.43</c:v>
                </c:pt>
                <c:pt idx="106">
                  <c:v>180000</c:v>
                </c:pt>
                <c:pt idx="107">
                  <c:v>1200000</c:v>
                </c:pt>
                <c:pt idx="108">
                  <c:v>165000</c:v>
                </c:pt>
                <c:pt idx="109">
                  <c:v>1758600</c:v>
                </c:pt>
                <c:pt idx="110">
                  <c:v>172000</c:v>
                </c:pt>
                <c:pt idx="111">
                  <c:v>265000</c:v>
                </c:pt>
                <c:pt idx="112">
                  <c:v>809900</c:v>
                </c:pt>
                <c:pt idx="113">
                  <c:v>1137000</c:v>
                </c:pt>
                <c:pt idx="114">
                  <c:v>180812.2</c:v>
                </c:pt>
                <c:pt idx="115">
                  <c:v>282700</c:v>
                </c:pt>
                <c:pt idx="116">
                  <c:v>744900</c:v>
                </c:pt>
                <c:pt idx="117">
                  <c:v>394019.94</c:v>
                </c:pt>
                <c:pt idx="118">
                  <c:v>3243312</c:v>
                </c:pt>
                <c:pt idx="119">
                  <c:v>1210700</c:v>
                </c:pt>
                <c:pt idx="120">
                  <c:v>782785.54</c:v>
                </c:pt>
                <c:pt idx="121">
                  <c:v>334739.87</c:v>
                </c:pt>
                <c:pt idx="122">
                  <c:v>988885</c:v>
                </c:pt>
                <c:pt idx="123">
                  <c:v>809900</c:v>
                </c:pt>
                <c:pt idx="124">
                  <c:v>3613899.28</c:v>
                </c:pt>
                <c:pt idx="125">
                  <c:v>130000</c:v>
                </c:pt>
                <c:pt idx="126">
                  <c:v>282988.89</c:v>
                </c:pt>
                <c:pt idx="127">
                  <c:v>150000</c:v>
                </c:pt>
                <c:pt idx="128">
                  <c:v>576000</c:v>
                </c:pt>
                <c:pt idx="129">
                  <c:v>2200000</c:v>
                </c:pt>
                <c:pt idx="130">
                  <c:v>356439</c:v>
                </c:pt>
                <c:pt idx="131">
                  <c:v>210000</c:v>
                </c:pt>
                <c:pt idx="132">
                  <c:v>448600</c:v>
                </c:pt>
                <c:pt idx="133">
                  <c:v>800000</c:v>
                </c:pt>
                <c:pt idx="134">
                  <c:v>420000</c:v>
                </c:pt>
                <c:pt idx="135">
                  <c:v>162000</c:v>
                </c:pt>
                <c:pt idx="136">
                  <c:v>185000</c:v>
                </c:pt>
                <c:pt idx="137">
                  <c:v>1170000</c:v>
                </c:pt>
                <c:pt idx="138">
                  <c:v>2150000</c:v>
                </c:pt>
                <c:pt idx="139">
                  <c:v>290000</c:v>
                </c:pt>
                <c:pt idx="140">
                  <c:v>550000</c:v>
                </c:pt>
                <c:pt idx="141">
                  <c:v>222000</c:v>
                </c:pt>
                <c:pt idx="142">
                  <c:v>277168.47</c:v>
                </c:pt>
                <c:pt idx="143">
                  <c:v>170000</c:v>
                </c:pt>
                <c:pt idx="144">
                  <c:v>277000</c:v>
                </c:pt>
                <c:pt idx="145">
                  <c:v>342052.87</c:v>
                </c:pt>
                <c:pt idx="146">
                  <c:v>895000</c:v>
                </c:pt>
                <c:pt idx="147">
                  <c:v>235000</c:v>
                </c:pt>
                <c:pt idx="148">
                  <c:v>200000</c:v>
                </c:pt>
                <c:pt idx="149">
                  <c:v>245000</c:v>
                </c:pt>
                <c:pt idx="150">
                  <c:v>3036780</c:v>
                </c:pt>
                <c:pt idx="151">
                  <c:v>217000</c:v>
                </c:pt>
                <c:pt idx="152">
                  <c:v>212000</c:v>
                </c:pt>
                <c:pt idx="153">
                  <c:v>260000</c:v>
                </c:pt>
                <c:pt idx="154">
                  <c:v>188300</c:v>
                </c:pt>
                <c:pt idx="155">
                  <c:v>271000</c:v>
                </c:pt>
                <c:pt idx="156">
                  <c:v>275000</c:v>
                </c:pt>
                <c:pt idx="157">
                  <c:v>236955.21</c:v>
                </c:pt>
                <c:pt idx="158">
                  <c:v>305000</c:v>
                </c:pt>
                <c:pt idx="159">
                  <c:v>385000</c:v>
                </c:pt>
                <c:pt idx="160">
                  <c:v>350000</c:v>
                </c:pt>
                <c:pt idx="161">
                  <c:v>160000</c:v>
                </c:pt>
                <c:pt idx="162">
                  <c:v>465800</c:v>
                </c:pt>
                <c:pt idx="163">
                  <c:v>809900</c:v>
                </c:pt>
                <c:pt idx="164">
                  <c:v>150000</c:v>
                </c:pt>
                <c:pt idx="165">
                  <c:v>267500</c:v>
                </c:pt>
                <c:pt idx="166">
                  <c:v>350000</c:v>
                </c:pt>
                <c:pt idx="167">
                  <c:v>215000</c:v>
                </c:pt>
                <c:pt idx="168">
                  <c:v>1171000</c:v>
                </c:pt>
                <c:pt idx="169">
                  <c:v>260000</c:v>
                </c:pt>
                <c:pt idx="170">
                  <c:v>250000</c:v>
                </c:pt>
                <c:pt idx="171">
                  <c:v>310000</c:v>
                </c:pt>
                <c:pt idx="172">
                  <c:v>450000</c:v>
                </c:pt>
                <c:pt idx="173">
                  <c:v>550000</c:v>
                </c:pt>
                <c:pt idx="174">
                  <c:v>809400</c:v>
                </c:pt>
                <c:pt idx="175">
                  <c:v>186000</c:v>
                </c:pt>
                <c:pt idx="176">
                  <c:v>599940</c:v>
                </c:pt>
                <c:pt idx="177">
                  <c:v>650000</c:v>
                </c:pt>
                <c:pt idx="178">
                  <c:v>650000</c:v>
                </c:pt>
                <c:pt idx="179">
                  <c:v>715000</c:v>
                </c:pt>
                <c:pt idx="180">
                  <c:v>664400</c:v>
                </c:pt>
                <c:pt idx="181">
                  <c:v>732000</c:v>
                </c:pt>
                <c:pt idx="182">
                  <c:v>664400</c:v>
                </c:pt>
                <c:pt idx="183">
                  <c:v>600000</c:v>
                </c:pt>
              </c:numCache>
            </c:numRef>
          </c:xVal>
          <c:yVal>
            <c:numRef>
              <c:f>0</c:f>
              <c:numCache>
                <c:formatCode>General</c:formatCode>
                <c:ptCount val="184"/>
                <c:pt idx="0">
                  <c:v>96155.56</c:v>
                </c:pt>
                <c:pt idx="1">
                  <c:v>492139.57</c:v>
                </c:pt>
                <c:pt idx="2">
                  <c:v>250662.53</c:v>
                </c:pt>
                <c:pt idx="3">
                  <c:v>467569.19</c:v>
                </c:pt>
                <c:pt idx="4">
                  <c:v>851469.53</c:v>
                </c:pt>
                <c:pt idx="5">
                  <c:v>322278.81</c:v>
                </c:pt>
                <c:pt idx="6">
                  <c:v>178115.02</c:v>
                </c:pt>
                <c:pt idx="7">
                  <c:v>210952.55</c:v>
                </c:pt>
                <c:pt idx="8">
                  <c:v>125111.04</c:v>
                </c:pt>
                <c:pt idx="9">
                  <c:v>147664.8</c:v>
                </c:pt>
                <c:pt idx="10">
                  <c:v>125111.04</c:v>
                </c:pt>
                <c:pt idx="11">
                  <c:v>350321.18</c:v>
                </c:pt>
                <c:pt idx="12">
                  <c:v>385157.28</c:v>
                </c:pt>
                <c:pt idx="13">
                  <c:v>674284.3</c:v>
                </c:pt>
                <c:pt idx="14">
                  <c:v>182478.9</c:v>
                </c:pt>
                <c:pt idx="15">
                  <c:v>178628.87</c:v>
                </c:pt>
                <c:pt idx="16">
                  <c:v>215593.09</c:v>
                </c:pt>
                <c:pt idx="17">
                  <c:v>256693.15</c:v>
                </c:pt>
                <c:pt idx="18">
                  <c:v>293870.84</c:v>
                </c:pt>
                <c:pt idx="19">
                  <c:v>336849.22</c:v>
                </c:pt>
                <c:pt idx="20">
                  <c:v>319288.36</c:v>
                </c:pt>
                <c:pt idx="21">
                  <c:v>224391.34</c:v>
                </c:pt>
                <c:pt idx="22">
                  <c:v>165422.25</c:v>
                </c:pt>
                <c:pt idx="23">
                  <c:v>334487.81</c:v>
                </c:pt>
                <c:pt idx="24">
                  <c:v>137045.32</c:v>
                </c:pt>
                <c:pt idx="25">
                  <c:v>174210.01</c:v>
                </c:pt>
                <c:pt idx="26">
                  <c:v>221649.74</c:v>
                </c:pt>
                <c:pt idx="27">
                  <c:v>143569.25</c:v>
                </c:pt>
                <c:pt idx="28">
                  <c:v>125111.04</c:v>
                </c:pt>
                <c:pt idx="29">
                  <c:v>236625.04</c:v>
                </c:pt>
                <c:pt idx="30">
                  <c:v>125111.04</c:v>
                </c:pt>
                <c:pt idx="31">
                  <c:v>578490.63</c:v>
                </c:pt>
                <c:pt idx="32">
                  <c:v>292838.82</c:v>
                </c:pt>
                <c:pt idx="33">
                  <c:v>165351.92</c:v>
                </c:pt>
                <c:pt idx="34">
                  <c:v>215677.37</c:v>
                </c:pt>
                <c:pt idx="35">
                  <c:v>277833.65</c:v>
                </c:pt>
                <c:pt idx="36">
                  <c:v>364067.57</c:v>
                </c:pt>
                <c:pt idx="37">
                  <c:v>337703.47</c:v>
                </c:pt>
                <c:pt idx="38">
                  <c:v>125111.04</c:v>
                </c:pt>
                <c:pt idx="39">
                  <c:v>125111.04</c:v>
                </c:pt>
                <c:pt idx="40">
                  <c:v>125111.04</c:v>
                </c:pt>
                <c:pt idx="41">
                  <c:v>125111.04</c:v>
                </c:pt>
                <c:pt idx="42">
                  <c:v>125111.04</c:v>
                </c:pt>
                <c:pt idx="43">
                  <c:v>125111.04</c:v>
                </c:pt>
                <c:pt idx="44">
                  <c:v>125111.04</c:v>
                </c:pt>
                <c:pt idx="45">
                  <c:v>181119.25</c:v>
                </c:pt>
                <c:pt idx="46">
                  <c:v>380861.64</c:v>
                </c:pt>
                <c:pt idx="47">
                  <c:v>298158.69</c:v>
                </c:pt>
                <c:pt idx="48">
                  <c:v>210600.28</c:v>
                </c:pt>
                <c:pt idx="49">
                  <c:v>624676.91</c:v>
                </c:pt>
                <c:pt idx="50">
                  <c:v>118758.1</c:v>
                </c:pt>
                <c:pt idx="51">
                  <c:v>128819.7</c:v>
                </c:pt>
                <c:pt idx="52">
                  <c:v>237820.35</c:v>
                </c:pt>
                <c:pt idx="53">
                  <c:v>509102.59</c:v>
                </c:pt>
                <c:pt idx="54">
                  <c:v>269946.71</c:v>
                </c:pt>
                <c:pt idx="55">
                  <c:v>94043.55</c:v>
                </c:pt>
                <c:pt idx="56">
                  <c:v>319716.39</c:v>
                </c:pt>
                <c:pt idx="57">
                  <c:v>151847.18</c:v>
                </c:pt>
                <c:pt idx="58">
                  <c:v>219536.08</c:v>
                </c:pt>
                <c:pt idx="59">
                  <c:v>280401.27</c:v>
                </c:pt>
                <c:pt idx="60">
                  <c:v>748403.09</c:v>
                </c:pt>
                <c:pt idx="61">
                  <c:v>107821.17</c:v>
                </c:pt>
                <c:pt idx="62">
                  <c:v>122254.95</c:v>
                </c:pt>
                <c:pt idx="63">
                  <c:v>298158.69</c:v>
                </c:pt>
                <c:pt idx="64">
                  <c:v>125111.04</c:v>
                </c:pt>
                <c:pt idx="65">
                  <c:v>347993.41</c:v>
                </c:pt>
                <c:pt idx="66">
                  <c:v>470956.18</c:v>
                </c:pt>
                <c:pt idx="67">
                  <c:v>298158.69</c:v>
                </c:pt>
                <c:pt idx="68">
                  <c:v>42655.31</c:v>
                </c:pt>
                <c:pt idx="69">
                  <c:v>215593.09</c:v>
                </c:pt>
                <c:pt idx="70">
                  <c:v>125111.04</c:v>
                </c:pt>
                <c:pt idx="71">
                  <c:v>103309.43</c:v>
                </c:pt>
                <c:pt idx="72">
                  <c:v>668747.97</c:v>
                </c:pt>
                <c:pt idx="73">
                  <c:v>1913074.5</c:v>
                </c:pt>
                <c:pt idx="74">
                  <c:v>864399.13</c:v>
                </c:pt>
                <c:pt idx="75">
                  <c:v>250662.53</c:v>
                </c:pt>
                <c:pt idx="76">
                  <c:v>173943.87</c:v>
                </c:pt>
                <c:pt idx="77">
                  <c:v>141402.14</c:v>
                </c:pt>
                <c:pt idx="78">
                  <c:v>339297.83</c:v>
                </c:pt>
                <c:pt idx="79">
                  <c:v>266583.72</c:v>
                </c:pt>
                <c:pt idx="80">
                  <c:v>387739.25</c:v>
                </c:pt>
                <c:pt idx="81">
                  <c:v>144445.61</c:v>
                </c:pt>
                <c:pt idx="82">
                  <c:v>174446.28</c:v>
                </c:pt>
                <c:pt idx="83">
                  <c:v>632102.94</c:v>
                </c:pt>
                <c:pt idx="84">
                  <c:v>265993.26</c:v>
                </c:pt>
                <c:pt idx="85">
                  <c:v>326452.44</c:v>
                </c:pt>
                <c:pt idx="86">
                  <c:v>109851.47</c:v>
                </c:pt>
                <c:pt idx="87">
                  <c:v>78301.68</c:v>
                </c:pt>
                <c:pt idx="88">
                  <c:v>207411.95</c:v>
                </c:pt>
                <c:pt idx="89">
                  <c:v>164040.2</c:v>
                </c:pt>
                <c:pt idx="90">
                  <c:v>1752576.04</c:v>
                </c:pt>
                <c:pt idx="91">
                  <c:v>575893.91</c:v>
                </c:pt>
                <c:pt idx="92">
                  <c:v>412353.44</c:v>
                </c:pt>
                <c:pt idx="93">
                  <c:v>802313.63</c:v>
                </c:pt>
                <c:pt idx="94">
                  <c:v>287909.36</c:v>
                </c:pt>
                <c:pt idx="95">
                  <c:v>280401.27</c:v>
                </c:pt>
                <c:pt idx="96">
                  <c:v>1280483.87</c:v>
                </c:pt>
                <c:pt idx="97">
                  <c:v>129779.99</c:v>
                </c:pt>
                <c:pt idx="98">
                  <c:v>913963.69</c:v>
                </c:pt>
                <c:pt idx="99">
                  <c:v>317613.08</c:v>
                </c:pt>
                <c:pt idx="100">
                  <c:v>185368.85</c:v>
                </c:pt>
                <c:pt idx="101">
                  <c:v>599459.54</c:v>
                </c:pt>
                <c:pt idx="102">
                  <c:v>566889.87</c:v>
                </c:pt>
                <c:pt idx="103">
                  <c:v>131527.87</c:v>
                </c:pt>
                <c:pt idx="104">
                  <c:v>566404.91</c:v>
                </c:pt>
                <c:pt idx="105">
                  <c:v>224989.56</c:v>
                </c:pt>
                <c:pt idx="106">
                  <c:v>463881.04</c:v>
                </c:pt>
                <c:pt idx="107">
                  <c:v>1298436.94</c:v>
                </c:pt>
                <c:pt idx="108">
                  <c:v>111697.19</c:v>
                </c:pt>
                <c:pt idx="109">
                  <c:v>1778036.57</c:v>
                </c:pt>
                <c:pt idx="110">
                  <c:v>200029.3</c:v>
                </c:pt>
                <c:pt idx="111">
                  <c:v>148056.13</c:v>
                </c:pt>
                <c:pt idx="112">
                  <c:v>748403.09</c:v>
                </c:pt>
                <c:pt idx="113">
                  <c:v>1701376.69</c:v>
                </c:pt>
                <c:pt idx="114">
                  <c:v>127133.48</c:v>
                </c:pt>
                <c:pt idx="115">
                  <c:v>201428.62</c:v>
                </c:pt>
                <c:pt idx="116">
                  <c:v>660032.98</c:v>
                </c:pt>
                <c:pt idx="117">
                  <c:v>302255.38</c:v>
                </c:pt>
                <c:pt idx="118">
                  <c:v>3279468.74</c:v>
                </c:pt>
                <c:pt idx="119">
                  <c:v>1296160.6</c:v>
                </c:pt>
                <c:pt idx="120">
                  <c:v>786441.72</c:v>
                </c:pt>
                <c:pt idx="121">
                  <c:v>284225.42</c:v>
                </c:pt>
                <c:pt idx="122">
                  <c:v>604620.09</c:v>
                </c:pt>
                <c:pt idx="123">
                  <c:v>743216.58</c:v>
                </c:pt>
                <c:pt idx="124">
                  <c:v>3394279.87</c:v>
                </c:pt>
                <c:pt idx="125">
                  <c:v>158419.67</c:v>
                </c:pt>
                <c:pt idx="126">
                  <c:v>340776.02</c:v>
                </c:pt>
                <c:pt idx="127">
                  <c:v>97142.23</c:v>
                </c:pt>
                <c:pt idx="128">
                  <c:v>539221.01</c:v>
                </c:pt>
                <c:pt idx="129">
                  <c:v>2245303.68</c:v>
                </c:pt>
                <c:pt idx="130">
                  <c:v>165953.12</c:v>
                </c:pt>
                <c:pt idx="131">
                  <c:v>196213.76</c:v>
                </c:pt>
                <c:pt idx="132">
                  <c:v>369208.03</c:v>
                </c:pt>
                <c:pt idx="133">
                  <c:v>603547.28</c:v>
                </c:pt>
                <c:pt idx="134">
                  <c:v>272534.21</c:v>
                </c:pt>
                <c:pt idx="135">
                  <c:v>71059.03</c:v>
                </c:pt>
                <c:pt idx="136">
                  <c:v>205641.37</c:v>
                </c:pt>
                <c:pt idx="137">
                  <c:v>1289460.41</c:v>
                </c:pt>
                <c:pt idx="138">
                  <c:v>2361329.25</c:v>
                </c:pt>
                <c:pt idx="139">
                  <c:v>357844.17</c:v>
                </c:pt>
                <c:pt idx="140">
                  <c:v>539703.48</c:v>
                </c:pt>
                <c:pt idx="141">
                  <c:v>148829.16</c:v>
                </c:pt>
                <c:pt idx="142">
                  <c:v>229076.7</c:v>
                </c:pt>
                <c:pt idx="143">
                  <c:v>94043.55</c:v>
                </c:pt>
                <c:pt idx="144">
                  <c:v>145177.79</c:v>
                </c:pt>
                <c:pt idx="145">
                  <c:v>267012.68</c:v>
                </c:pt>
                <c:pt idx="146">
                  <c:v>1520707.24</c:v>
                </c:pt>
                <c:pt idx="147">
                  <c:v>193068.8</c:v>
                </c:pt>
                <c:pt idx="148">
                  <c:v>185848.53</c:v>
                </c:pt>
                <c:pt idx="149">
                  <c:v>193068.8</c:v>
                </c:pt>
                <c:pt idx="150">
                  <c:v>3323891.58</c:v>
                </c:pt>
                <c:pt idx="151">
                  <c:v>123670.14</c:v>
                </c:pt>
                <c:pt idx="152">
                  <c:v>139635.69</c:v>
                </c:pt>
                <c:pt idx="153">
                  <c:v>201913.47</c:v>
                </c:pt>
                <c:pt idx="154">
                  <c:v>128819.7</c:v>
                </c:pt>
                <c:pt idx="155">
                  <c:v>208638.52</c:v>
                </c:pt>
                <c:pt idx="156">
                  <c:v>239396.45</c:v>
                </c:pt>
                <c:pt idx="157">
                  <c:v>184728.07</c:v>
                </c:pt>
                <c:pt idx="158">
                  <c:v>237225.41</c:v>
                </c:pt>
                <c:pt idx="159">
                  <c:v>556947.66</c:v>
                </c:pt>
                <c:pt idx="160">
                  <c:v>317512.2</c:v>
                </c:pt>
                <c:pt idx="161">
                  <c:v>97823.22</c:v>
                </c:pt>
                <c:pt idx="162">
                  <c:v>272534.21</c:v>
                </c:pt>
                <c:pt idx="163">
                  <c:v>743216.58</c:v>
                </c:pt>
                <c:pt idx="164">
                  <c:v>113708.01</c:v>
                </c:pt>
                <c:pt idx="165">
                  <c:v>342166.3</c:v>
                </c:pt>
                <c:pt idx="166">
                  <c:v>523916.81</c:v>
                </c:pt>
                <c:pt idx="167">
                  <c:v>144645.04</c:v>
                </c:pt>
                <c:pt idx="168">
                  <c:v>1241344.4</c:v>
                </c:pt>
                <c:pt idx="169">
                  <c:v>176745.61</c:v>
                </c:pt>
                <c:pt idx="170">
                  <c:v>358532.14</c:v>
                </c:pt>
                <c:pt idx="171">
                  <c:v>684412.79</c:v>
                </c:pt>
                <c:pt idx="172">
                  <c:v>257520.56</c:v>
                </c:pt>
                <c:pt idx="173">
                  <c:v>589450.84</c:v>
                </c:pt>
                <c:pt idx="174">
                  <c:v>568342.88</c:v>
                </c:pt>
                <c:pt idx="175">
                  <c:v>164708.96</c:v>
                </c:pt>
                <c:pt idx="176">
                  <c:v>625556.54</c:v>
                </c:pt>
                <c:pt idx="177">
                  <c:v>659962.15</c:v>
                </c:pt>
                <c:pt idx="178">
                  <c:v>673841.69</c:v>
                </c:pt>
                <c:pt idx="179">
                  <c:v>678468.2</c:v>
                </c:pt>
                <c:pt idx="180">
                  <c:v>687721.22</c:v>
                </c:pt>
                <c:pt idx="181">
                  <c:v>659962.15</c:v>
                </c:pt>
                <c:pt idx="182">
                  <c:v>678344.7</c:v>
                </c:pt>
                <c:pt idx="183">
                  <c:v>683066.98</c:v>
                </c:pt>
              </c:numCache>
            </c:numRef>
          </c:yVal>
          <c:smooth val="0"/>
        </c:ser>
        <c:axId val="79067070"/>
        <c:axId val="75825634"/>
      </c:scatterChart>
      <c:valAx>
        <c:axId val="79067070"/>
        <c:scaling>
          <c:orientation val="minMax"/>
        </c:scaling>
        <c:delete val="0"/>
        <c:axPos val="b"/>
        <c:majorGridlines>
          <c:spPr>
            <a:ln w="9360">
              <a:solidFill>
                <a:srgbClr val="d9d9d9"/>
              </a:solidFill>
              <a:round/>
            </a:ln>
          </c:spPr>
        </c:majorGridlines>
        <c:title>
          <c:tx>
            <c:rich>
              <a:bodyPr rot="0"/>
              <a:lstStyle/>
              <a:p>
                <a:pPr>
                  <a:defRPr b="0" lang="pt-BR" sz="1000" spc="-1" strike="noStrike">
                    <a:solidFill>
                      <a:srgbClr val="595959"/>
                    </a:solidFill>
                    <a:latin typeface="Calibri"/>
                  </a:defRPr>
                </a:pPr>
                <a:r>
                  <a:rPr b="0" lang="pt-BR" sz="1000" spc="-1" strike="noStrike">
                    <a:solidFill>
                      <a:srgbClr val="595959"/>
                    </a:solidFill>
                    <a:latin typeface="Calibri"/>
                  </a:rPr>
                  <a:t>Avaliação do Auditor</a:t>
                </a:r>
              </a:p>
            </c:rich>
          </c:tx>
          <c:layout>
            <c:manualLayout>
              <c:xMode val="edge"/>
              <c:yMode val="edge"/>
              <c:x val="0.44794572182435"/>
              <c:y val="0.937855072463768"/>
            </c:manualLayout>
          </c:layout>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b="0" sz="900" spc="-1" strike="noStrike">
                <a:solidFill>
                  <a:srgbClr val="595959"/>
                </a:solidFill>
                <a:latin typeface="Calibri"/>
              </a:defRPr>
            </a:pPr>
          </a:p>
        </c:txPr>
        <c:crossAx val="75825634"/>
        <c:crosses val="autoZero"/>
        <c:crossBetween val="midCat"/>
      </c:valAx>
      <c:valAx>
        <c:axId val="75825634"/>
        <c:scaling>
          <c:orientation val="minMax"/>
        </c:scaling>
        <c:delete val="0"/>
        <c:axPos val="l"/>
        <c:majorGridlines>
          <c:spPr>
            <a:ln w="9360">
              <a:solidFill>
                <a:srgbClr val="d9d9d9"/>
              </a:solidFill>
              <a:round/>
            </a:ln>
          </c:spPr>
        </c:majorGridlines>
        <c:title>
          <c:tx>
            <c:rich>
              <a:bodyPr rot="-5400000"/>
              <a:lstStyle/>
              <a:p>
                <a:pPr>
                  <a:defRPr b="0" lang="en-US" sz="1000" spc="-1" strike="noStrike">
                    <a:solidFill>
                      <a:srgbClr val="595959"/>
                    </a:solidFill>
                    <a:latin typeface="Calibri"/>
                  </a:defRPr>
                </a:pPr>
                <a:r>
                  <a:rPr b="0" lang="en-US" sz="1000" spc="-1" strike="noStrike">
                    <a:solidFill>
                      <a:srgbClr val="595959"/>
                    </a:solidFill>
                    <a:latin typeface="Calibri"/>
                  </a:rPr>
                  <a:t>OMI (04/05/26)</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b="0" sz="900" spc="-1" strike="noStrike">
                <a:solidFill>
                  <a:srgbClr val="595959"/>
                </a:solidFill>
                <a:latin typeface="Calibri"/>
              </a:defRPr>
            </a:pPr>
          </a:p>
        </c:txPr>
        <c:crossAx val="79067070"/>
        <c:crosses val="autoZero"/>
        <c:crossBetween val="midCat"/>
      </c:valAx>
      <c:spPr>
        <a:noFill/>
        <a:ln w="0">
          <a:noFill/>
        </a:ln>
      </c:spPr>
    </c:plotArea>
    <c:plotVisOnly val="1"/>
    <c:dispBlanksAs val="gap"/>
  </c:chart>
  <c:spPr>
    <a:solidFill>
      <a:srgbClr val="ffffff"/>
    </a:solidFill>
    <a:ln w="9360">
      <a:solidFill>
        <a:srgbClr val="d9d9d9"/>
      </a:solidFill>
      <a:round/>
    </a:ln>
  </c:spPr>
</c:chartSpace>
</file>

<file path=word/theme/theme1.xml><?xml version="1.0" encoding="utf-8"?>
<a:theme xmlns:a="http://schemas.openxmlformats.org/drawingml/2006/main" xmlns:r="http://schemas.openxmlformats.org/officeDocument/2006/relationships" name="Tema do Office">
  <a:themeElements>
    <a:clrScheme name="Escritório">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C81F4-4827-497A-952F-432E5EBC8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4472</TotalTime>
  <Application>LibreOffice/7.6.6.3$Windows_X86_64 LibreOffice_project/d97b2716a9a4a2ce1391dee1765565ea469b0ae7</Application>
  <AppVersion>15.0000</AppVersion>
  <Pages>64</Pages>
  <Words>8305</Words>
  <Characters>60645</Characters>
  <CharactersWithSpaces>65969</CharactersWithSpaces>
  <Paragraphs>3155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2026-04-30T18:05:00Z</dcterms:created>
  <dc:creator>Usuario</dc:creator>
  <dc:description/>
  <dc:language>pt-BR</dc:language>
  <cp:lastModifiedBy/>
  <cp:lastPrinted>2026-05-29T06:10:20Z</cp:lastPrinted>
  <dcterms:modified xsi:type="dcterms:W3CDTF">2026-05-29T06:30:34Z</dcterms:modified>
  <cp:revision>29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